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88821" w14:textId="026ABE7C" w:rsidR="00902A44" w:rsidRDefault="00902A44" w:rsidP="00902A44">
      <w:pPr>
        <w:pStyle w:val="Title"/>
      </w:pPr>
    </w:p>
    <w:p w14:paraId="5DD473EE" w14:textId="541A5F02" w:rsidR="00902A44" w:rsidRDefault="0050173A" w:rsidP="00EF736B">
      <w:pPr>
        <w:pStyle w:val="Title"/>
      </w:pPr>
      <w:r>
        <w:rPr>
          <w:noProof/>
        </w:rPr>
        <w:drawing>
          <wp:anchor distT="0" distB="0" distL="114300" distR="114300" simplePos="0" relativeHeight="251658240" behindDoc="1" locked="0" layoutInCell="1" allowOverlap="1" wp14:anchorId="79D37DF7" wp14:editId="7165E000">
            <wp:simplePos x="0" y="0"/>
            <wp:positionH relativeFrom="page">
              <wp:align>center</wp:align>
            </wp:positionH>
            <wp:positionV relativeFrom="paragraph">
              <wp:posOffset>51435</wp:posOffset>
            </wp:positionV>
            <wp:extent cx="3858768" cy="1664208"/>
            <wp:effectExtent l="0" t="0" r="0" b="0"/>
            <wp:wrapTight wrapText="bothSides">
              <wp:wrapPolygon edited="0">
                <wp:start x="0" y="0"/>
                <wp:lineTo x="0" y="21270"/>
                <wp:lineTo x="21436" y="21270"/>
                <wp:lineTo x="21436" y="0"/>
                <wp:lineTo x="0" y="0"/>
              </wp:wrapPolygon>
            </wp:wrapTight>
            <wp:docPr id="833979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8768" cy="16642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553D37" w14:textId="273729CF" w:rsidR="00902A44" w:rsidRDefault="00902A44" w:rsidP="00902A44">
      <w:pPr>
        <w:rPr>
          <w:b/>
        </w:rPr>
      </w:pPr>
    </w:p>
    <w:p w14:paraId="241A1B0F" w14:textId="77777777" w:rsidR="00902A44" w:rsidRDefault="00902A44" w:rsidP="00902A44">
      <w:pPr>
        <w:rPr>
          <w:b/>
          <w:sz w:val="32"/>
          <w:szCs w:val="32"/>
        </w:rPr>
      </w:pPr>
    </w:p>
    <w:p w14:paraId="6BB2DCAD" w14:textId="77777777" w:rsidR="00902A44" w:rsidRDefault="00902A44" w:rsidP="00902A44">
      <w:pPr>
        <w:rPr>
          <w:b/>
          <w:sz w:val="32"/>
          <w:szCs w:val="32"/>
        </w:rPr>
      </w:pPr>
    </w:p>
    <w:p w14:paraId="188CCB25" w14:textId="71884696" w:rsidR="00902A44" w:rsidRPr="00F869D0" w:rsidRDefault="00902A44" w:rsidP="00902A44">
      <w:pPr>
        <w:spacing w:after="0"/>
        <w:rPr>
          <w:b/>
          <w:sz w:val="8"/>
          <w:szCs w:val="8"/>
        </w:rPr>
      </w:pPr>
    </w:p>
    <w:p w14:paraId="5FFE1039" w14:textId="4056B8D1" w:rsidR="00FD34AC" w:rsidRPr="005020D8" w:rsidRDefault="00FD34AC" w:rsidP="0050173A">
      <w:pPr>
        <w:pStyle w:val="Title"/>
        <w:spacing w:line="276" w:lineRule="auto"/>
        <w:jc w:val="center"/>
        <w:rPr>
          <w:rFonts w:ascii="Symbol" w:hAnsi="Symbol"/>
          <w:b/>
          <w:bCs/>
        </w:rPr>
      </w:pPr>
      <w:r w:rsidRPr="00FD34AC">
        <w:rPr>
          <w:b/>
          <w:bCs/>
        </w:rPr>
        <w:t>Application for</w:t>
      </w:r>
      <w:r w:rsidR="00902A44" w:rsidRPr="00FD34AC">
        <w:rPr>
          <w:b/>
          <w:bCs/>
        </w:rPr>
        <w:t xml:space="preserve"> CMCA</w:t>
      </w:r>
      <w:r w:rsidR="005020D8" w:rsidRPr="005020D8">
        <w:rPr>
          <w:b/>
          <w:bCs/>
          <w:sz w:val="32"/>
          <w:szCs w:val="32"/>
        </w:rPr>
        <w:t>®</w:t>
      </w:r>
    </w:p>
    <w:p w14:paraId="542CA982" w14:textId="2E14689D" w:rsidR="00902A44" w:rsidRPr="00FD34AC" w:rsidRDefault="00902A44" w:rsidP="0050173A">
      <w:pPr>
        <w:pStyle w:val="Title"/>
        <w:spacing w:line="276" w:lineRule="auto"/>
        <w:jc w:val="center"/>
        <w:rPr>
          <w:b/>
          <w:bCs/>
        </w:rPr>
      </w:pPr>
      <w:r w:rsidRPr="00FD34AC">
        <w:rPr>
          <w:b/>
          <w:bCs/>
        </w:rPr>
        <w:t>Prere</w:t>
      </w:r>
      <w:r w:rsidR="00BA5ACD" w:rsidRPr="00FD34AC">
        <w:rPr>
          <w:b/>
          <w:bCs/>
        </w:rPr>
        <w:t>quisite Course Status</w:t>
      </w:r>
    </w:p>
    <w:p w14:paraId="53654F34" w14:textId="2FC96FD8" w:rsidR="004A286C" w:rsidRDefault="004A286C" w:rsidP="00EF736B">
      <w:pPr>
        <w:pStyle w:val="Title"/>
      </w:pPr>
      <w:r>
        <w:br w:type="page"/>
      </w:r>
    </w:p>
    <w:p w14:paraId="00847731" w14:textId="3D0490BA" w:rsidR="004A286C" w:rsidRDefault="004A286C" w:rsidP="004A286C">
      <w:pPr>
        <w:pStyle w:val="Heading1"/>
      </w:pPr>
      <w:r>
        <w:lastRenderedPageBreak/>
        <w:t>Introduction</w:t>
      </w:r>
    </w:p>
    <w:p w14:paraId="7826E489" w14:textId="77777777" w:rsidR="00842A3D" w:rsidRDefault="004A286C" w:rsidP="004A286C">
      <w:r>
        <w:t xml:space="preserve">The Certified Manager of Community Associations® (CMCA®) is the only international certification program designed exclusively for </w:t>
      </w:r>
      <w:r w:rsidR="00842A3D">
        <w:t>community association</w:t>
      </w:r>
      <w:r w:rsidR="00842A3D" w:rsidRPr="00842A3D">
        <w:t xml:space="preserve"> managers</w:t>
      </w:r>
      <w:r>
        <w:t xml:space="preserve">. Since 1996, the Community Association Managers International Certification Board (CAMICB), formerly NBC‐CAM, has certified more than 20,000 community managers. </w:t>
      </w:r>
    </w:p>
    <w:p w14:paraId="5E3A0637" w14:textId="3D576827" w:rsidR="004A286C" w:rsidRDefault="008D0EE0" w:rsidP="006F3644">
      <w:r>
        <w:t>CAMICB designed the CMCA certification to recognize professionals</w:t>
      </w:r>
      <w:r w:rsidRPr="009E4CE4">
        <w:t xml:space="preserve"> </w:t>
      </w:r>
      <w:r>
        <w:t xml:space="preserve">who </w:t>
      </w:r>
      <w:r w:rsidRPr="009E4CE4">
        <w:t xml:space="preserve">have </w:t>
      </w:r>
      <w:r>
        <w:t xml:space="preserve">demonstrated </w:t>
      </w:r>
      <w:r w:rsidRPr="009E4CE4">
        <w:t xml:space="preserve">the fundamental knowledge and expertise </w:t>
      </w:r>
      <w:r>
        <w:t xml:space="preserve">to manage community associations effectively. </w:t>
      </w:r>
      <w:r w:rsidR="008B300B">
        <w:t>In addition to establishing</w:t>
      </w:r>
      <w:r w:rsidR="004A286C">
        <w:t xml:space="preserve"> acceptable standards of knowledge and skills for the community management industry</w:t>
      </w:r>
      <w:r w:rsidR="00D14A69">
        <w:t xml:space="preserve">, </w:t>
      </w:r>
      <w:r w:rsidR="008B300B">
        <w:t xml:space="preserve">the CMCA </w:t>
      </w:r>
      <w:r w:rsidR="00D14A69">
        <w:t>p</w:t>
      </w:r>
      <w:r w:rsidR="004A286C">
        <w:t>rovides association homeowners with confidence regarding a certified manager</w:t>
      </w:r>
      <w:r w:rsidR="008D5B64">
        <w:t>’</w:t>
      </w:r>
      <w:r w:rsidR="004A286C">
        <w:t xml:space="preserve">s </w:t>
      </w:r>
      <w:r w:rsidR="00A6232C">
        <w:t>capabilities and</w:t>
      </w:r>
      <w:r w:rsidR="00D14A69">
        <w:t xml:space="preserve"> r</w:t>
      </w:r>
      <w:r w:rsidR="004A286C">
        <w:t xml:space="preserve">aises the professional status of community association management. </w:t>
      </w:r>
    </w:p>
    <w:p w14:paraId="60BAB8F9" w14:textId="61027B7F" w:rsidR="00574CD7" w:rsidRDefault="00842A3D" w:rsidP="002E66A5">
      <w:r>
        <w:t xml:space="preserve">Applicants </w:t>
      </w:r>
      <w:r w:rsidR="007B464C">
        <w:t xml:space="preserve">for the CMCA credential </w:t>
      </w:r>
      <w:r>
        <w:t xml:space="preserve">may </w:t>
      </w:r>
      <w:r w:rsidR="00AC445F">
        <w:t>establish</w:t>
      </w:r>
      <w:r w:rsidR="00C2246D">
        <w:t xml:space="preserve"> their</w:t>
      </w:r>
      <w:r w:rsidR="00AC445F">
        <w:t xml:space="preserve"> eligibility </w:t>
      </w:r>
      <w:r>
        <w:t xml:space="preserve">by completing a CAMICB‐approved prerequisite course that offers a comprehensive overview of </w:t>
      </w:r>
      <w:r w:rsidR="00AC445F">
        <w:t xml:space="preserve">the </w:t>
      </w:r>
      <w:r w:rsidR="00AF5FB8">
        <w:t xml:space="preserve">foundational principles of community association management. </w:t>
      </w:r>
      <w:r>
        <w:t xml:space="preserve"> </w:t>
      </w:r>
    </w:p>
    <w:p w14:paraId="44A91E80" w14:textId="545352A0" w:rsidR="00F156C2" w:rsidRDefault="002013DD" w:rsidP="002E66A5">
      <w:r>
        <w:t xml:space="preserve">Organizations that seek CMCA prerequisite status for their course must </w:t>
      </w:r>
      <w:r w:rsidR="00F156C2">
        <w:t>complete this application</w:t>
      </w:r>
      <w:r w:rsidR="00945F34">
        <w:t xml:space="preserve"> </w:t>
      </w:r>
      <w:r w:rsidR="00F156C2">
        <w:t xml:space="preserve">to demonstrate compliance with CAMICB’s ten requirements for CMCA prerequisite course status. </w:t>
      </w:r>
    </w:p>
    <w:p w14:paraId="253518D6" w14:textId="554EEB20" w:rsidR="00FF2DE1" w:rsidRDefault="00FF2DE1" w:rsidP="002E66A5">
      <w:r>
        <w:t>Approved CMCA prerequisite courses benefit from increased visibility and credibility in the community association management industry.</w:t>
      </w:r>
      <w:r w:rsidRPr="00AA33F0">
        <w:t xml:space="preserve"> </w:t>
      </w:r>
      <w:r w:rsidRPr="00A44668">
        <w:t xml:space="preserve">This recognition </w:t>
      </w:r>
      <w:r>
        <w:t>attracts a broad audience of potential learners and</w:t>
      </w:r>
      <w:r w:rsidRPr="00A44668">
        <w:t xml:space="preserve"> signifies a commitment to high-quality education aligned with industry standards. </w:t>
      </w:r>
    </w:p>
    <w:p w14:paraId="3949493C" w14:textId="23522B28" w:rsidR="00CC6C6C" w:rsidRDefault="005F30DE" w:rsidP="007B153F">
      <w:pPr>
        <w:pStyle w:val="Heading2"/>
      </w:pPr>
      <w:r>
        <w:t>Requirements</w:t>
      </w:r>
      <w:r w:rsidR="00CC6C6C">
        <w:t xml:space="preserve"> for Approval </w:t>
      </w:r>
    </w:p>
    <w:p w14:paraId="4371D73E" w14:textId="2C748F4D" w:rsidR="00CC6C6C" w:rsidRDefault="007B153F" w:rsidP="00CC6C6C">
      <w:r>
        <w:t>CAMICB’s requirements</w:t>
      </w:r>
      <w:r w:rsidR="00CC6C6C">
        <w:t xml:space="preserve"> outline the essential standards that course providers must meet to be approved as a prerequisite for the CMCA. These standards ensure that approved educational programs meet the highest level of quality and align with the professional development needs of CMCA candidates</w:t>
      </w:r>
      <w:r w:rsidR="00D509FA">
        <w:t>:</w:t>
      </w:r>
      <w:r w:rsidR="00324C71">
        <w:t xml:space="preserve"> </w:t>
      </w:r>
    </w:p>
    <w:p w14:paraId="246CA687" w14:textId="74FE8035" w:rsidR="00CC6C6C" w:rsidRDefault="00752846" w:rsidP="00CC6C6C">
      <w:pPr>
        <w:pStyle w:val="ListParagraph"/>
        <w:numPr>
          <w:ilvl w:val="0"/>
          <w:numId w:val="18"/>
        </w:numPr>
      </w:pPr>
      <w:r>
        <w:t>The Course Provider</w:t>
      </w:r>
      <w:r w:rsidR="00CC6C6C">
        <w:t>: Clear, mission-aligned systems for managing educational courses.</w:t>
      </w:r>
    </w:p>
    <w:p w14:paraId="773D57A4" w14:textId="34BA7902" w:rsidR="00CC6C6C" w:rsidRDefault="00752846" w:rsidP="00CC6C6C">
      <w:pPr>
        <w:pStyle w:val="ListParagraph"/>
        <w:numPr>
          <w:ilvl w:val="0"/>
          <w:numId w:val="18"/>
        </w:numPr>
      </w:pPr>
      <w:r>
        <w:t>Administration</w:t>
      </w:r>
      <w:r w:rsidR="00CC6C6C">
        <w:t>: Effective procedures for maintaining and enhancing course quality.</w:t>
      </w:r>
    </w:p>
    <w:p w14:paraId="075828AD" w14:textId="25554C6C" w:rsidR="00CC6C6C" w:rsidRDefault="00752846" w:rsidP="00CC6C6C">
      <w:pPr>
        <w:pStyle w:val="ListParagraph"/>
        <w:numPr>
          <w:ilvl w:val="0"/>
          <w:numId w:val="18"/>
        </w:numPr>
      </w:pPr>
      <w:r w:rsidRPr="00752846">
        <w:t>Transparency in Course Delivery and Marketing</w:t>
      </w:r>
      <w:r w:rsidR="00CC6C6C">
        <w:t xml:space="preserve">: </w:t>
      </w:r>
      <w:r w:rsidR="004559D0">
        <w:t>Maintenance of</w:t>
      </w:r>
      <w:r w:rsidR="00522D33">
        <w:t xml:space="preserve"> educational focus. </w:t>
      </w:r>
      <w:r w:rsidR="00BC5722">
        <w:t xml:space="preserve"> </w:t>
      </w:r>
    </w:p>
    <w:p w14:paraId="5C1D3AE7" w14:textId="6733A1C7" w:rsidR="00CC6C6C" w:rsidRDefault="002B2FB1" w:rsidP="00CC6C6C">
      <w:pPr>
        <w:pStyle w:val="ListParagraph"/>
        <w:numPr>
          <w:ilvl w:val="0"/>
          <w:numId w:val="18"/>
        </w:numPr>
      </w:pPr>
      <w:r>
        <w:t>Maintenance</w:t>
      </w:r>
      <w:r w:rsidR="00CC6C6C">
        <w:t xml:space="preserve"> of Learner Records: Robust systems for verifying and protecting learner records.</w:t>
      </w:r>
    </w:p>
    <w:p w14:paraId="6869A9C0" w14:textId="77777777" w:rsidR="00CC6C6C" w:rsidRDefault="00CC6C6C" w:rsidP="00CC6C6C">
      <w:pPr>
        <w:pStyle w:val="ListParagraph"/>
        <w:numPr>
          <w:ilvl w:val="0"/>
          <w:numId w:val="18"/>
        </w:numPr>
      </w:pPr>
      <w:r>
        <w:t>Learning Outcomes: Clear, measurable learning outcomes reflecting course goals.</w:t>
      </w:r>
    </w:p>
    <w:p w14:paraId="38A211ED" w14:textId="5BEF8D84" w:rsidR="00CC6C6C" w:rsidRDefault="002B2FB1" w:rsidP="00CC6C6C">
      <w:pPr>
        <w:pStyle w:val="ListParagraph"/>
        <w:numPr>
          <w:ilvl w:val="0"/>
          <w:numId w:val="18"/>
        </w:numPr>
      </w:pPr>
      <w:r>
        <w:t>Developers and Instructors</w:t>
      </w:r>
      <w:r w:rsidR="00CC6C6C">
        <w:t>: Qualified instructors committed to high-quality education.</w:t>
      </w:r>
    </w:p>
    <w:p w14:paraId="3C968F82" w14:textId="77777777" w:rsidR="00CC6C6C" w:rsidRDefault="00CC6C6C" w:rsidP="00CC6C6C">
      <w:pPr>
        <w:pStyle w:val="ListParagraph"/>
        <w:numPr>
          <w:ilvl w:val="0"/>
          <w:numId w:val="18"/>
        </w:numPr>
      </w:pPr>
      <w:r>
        <w:t>Learning Environment and Support: Inclusive and conducive learning environments.</w:t>
      </w:r>
    </w:p>
    <w:p w14:paraId="770C42F8" w14:textId="3DDA26C7" w:rsidR="00CC6C6C" w:rsidRDefault="00BC26AB" w:rsidP="00CC6C6C">
      <w:pPr>
        <w:pStyle w:val="ListParagraph"/>
        <w:numPr>
          <w:ilvl w:val="0"/>
          <w:numId w:val="18"/>
        </w:numPr>
      </w:pPr>
      <w:r>
        <w:t>Requirements for Completion</w:t>
      </w:r>
      <w:r w:rsidR="00CC6C6C">
        <w:t>: Criteria for satisfactory course completion and assessments.</w:t>
      </w:r>
    </w:p>
    <w:p w14:paraId="2C720EA5" w14:textId="4362CD43" w:rsidR="00CC6C6C" w:rsidRDefault="00CC6C6C" w:rsidP="00CC6C6C">
      <w:pPr>
        <w:pStyle w:val="ListParagraph"/>
        <w:numPr>
          <w:ilvl w:val="0"/>
          <w:numId w:val="18"/>
        </w:numPr>
      </w:pPr>
      <w:r>
        <w:t xml:space="preserve">Course Evaluation: Regular course evaluations </w:t>
      </w:r>
      <w:r w:rsidR="00183281">
        <w:t>and incorporation of feedback.</w:t>
      </w:r>
    </w:p>
    <w:p w14:paraId="2EA88ECF" w14:textId="4FADFDEC" w:rsidR="00CC6C6C" w:rsidRDefault="00CC6C6C" w:rsidP="00CC6C6C">
      <w:pPr>
        <w:pStyle w:val="ListParagraph"/>
        <w:numPr>
          <w:ilvl w:val="0"/>
          <w:numId w:val="18"/>
        </w:numPr>
      </w:pPr>
      <w:r>
        <w:t xml:space="preserve">Course Content Alignment: </w:t>
      </w:r>
      <w:r w:rsidR="004559D0">
        <w:t>S</w:t>
      </w:r>
      <w:r>
        <w:t xml:space="preserve">ubject matter </w:t>
      </w:r>
      <w:r w:rsidR="004559D0">
        <w:t xml:space="preserve">that </w:t>
      </w:r>
      <w:r>
        <w:t xml:space="preserve">is aligned with the CMCA content outline. </w:t>
      </w:r>
    </w:p>
    <w:p w14:paraId="137B5DE3" w14:textId="40261A09" w:rsidR="00CC6C6C" w:rsidRDefault="00CC6C6C" w:rsidP="00CC6C6C">
      <w:r>
        <w:t xml:space="preserve">These requirements are designed to be comprehensive and practical, allowing providers to meet them effectively while maintaining the flexibility to innovate. The application process is an integral part of ensuring that providers not only comply with these standards but also create educational experiences that are engaging, effective, and beneficial for learners </w:t>
      </w:r>
      <w:r w:rsidR="0069344B">
        <w:t>who are early in their</w:t>
      </w:r>
      <w:r>
        <w:t xml:space="preserve"> community association management</w:t>
      </w:r>
      <w:r w:rsidR="0069344B">
        <w:t xml:space="preserve"> career. </w:t>
      </w:r>
    </w:p>
    <w:p w14:paraId="7ECD9A43" w14:textId="09AB2F83" w:rsidR="00CC6C6C" w:rsidRDefault="00CC6C6C" w:rsidP="00CC6C6C">
      <w:r>
        <w:lastRenderedPageBreak/>
        <w:t xml:space="preserve">By adhering to these guidelines and completing the application process, </w:t>
      </w:r>
      <w:r w:rsidR="00FF2DE1">
        <w:t xml:space="preserve">course </w:t>
      </w:r>
      <w:r>
        <w:t xml:space="preserve">providers join CAMICB in our commitment to excellence and continuous improvement in </w:t>
      </w:r>
      <w:r w:rsidR="00FF2DE1">
        <w:t xml:space="preserve">supporting the </w:t>
      </w:r>
      <w:r>
        <w:t>community association management</w:t>
      </w:r>
      <w:r w:rsidR="00FF2DE1">
        <w:t xml:space="preserve"> industry. </w:t>
      </w:r>
    </w:p>
    <w:p w14:paraId="71FFA88B" w14:textId="7F067ACE" w:rsidR="005D296B" w:rsidRDefault="005D296B" w:rsidP="008D694C">
      <w:pPr>
        <w:pStyle w:val="Heading1"/>
      </w:pPr>
      <w:r>
        <w:t>Application Process</w:t>
      </w:r>
    </w:p>
    <w:p w14:paraId="2DBE9EC0" w14:textId="4781DBD5" w:rsidR="006F400C" w:rsidRDefault="00552355" w:rsidP="006F400C">
      <w:r>
        <w:t>A course provider seeking CMCA prerequisite status must complete this application</w:t>
      </w:r>
      <w:r w:rsidR="004B1845">
        <w:t xml:space="preserve"> </w:t>
      </w:r>
      <w:r w:rsidR="000534E8">
        <w:t xml:space="preserve">to demonstrate compliance with CAMICB’s requirements. </w:t>
      </w:r>
    </w:p>
    <w:p w14:paraId="237B3551" w14:textId="5B6CB420" w:rsidR="00EA2EFA" w:rsidRDefault="00EA2EFA" w:rsidP="006F400C">
      <w:r>
        <w:t xml:space="preserve">For each of the </w:t>
      </w:r>
      <w:r w:rsidR="00EE7AF9">
        <w:t>ten requirements outlined above, the course provider must demonstrate compliance by providing written responses</w:t>
      </w:r>
      <w:r w:rsidR="005C1B03">
        <w:t xml:space="preserve"> </w:t>
      </w:r>
      <w:r w:rsidR="00EE7AF9">
        <w:t xml:space="preserve">or </w:t>
      </w:r>
      <w:r w:rsidR="00C82A76">
        <w:t>submitting</w:t>
      </w:r>
      <w:r w:rsidR="004B1845">
        <w:t xml:space="preserve"> </w:t>
      </w:r>
      <w:r w:rsidR="00C82A76">
        <w:t>exhibits where necessary. All exhibits should be clearly named</w:t>
      </w:r>
      <w:r w:rsidR="005C1B03">
        <w:t xml:space="preserve">. </w:t>
      </w:r>
      <w:r w:rsidR="003F06B7">
        <w:t>CAMICB s</w:t>
      </w:r>
      <w:r w:rsidR="005C1B03">
        <w:t>taff will provide the applica</w:t>
      </w:r>
      <w:r w:rsidR="0085667A">
        <w:t xml:space="preserve">nt with </w:t>
      </w:r>
      <w:r w:rsidR="002F364C">
        <w:t xml:space="preserve">access to </w:t>
      </w:r>
      <w:r w:rsidR="0085667A">
        <w:t>a secure file share</w:t>
      </w:r>
      <w:r w:rsidR="00791445">
        <w:t xml:space="preserve">. </w:t>
      </w:r>
      <w:r w:rsidR="004125E4">
        <w:t xml:space="preserve">All submitted materials will be treated securely and confidentially and used only </w:t>
      </w:r>
      <w:r w:rsidR="00FC3211">
        <w:t>to determine</w:t>
      </w:r>
      <w:r w:rsidR="004125E4">
        <w:t xml:space="preserve"> eligibility for the prerequisite course status. </w:t>
      </w:r>
    </w:p>
    <w:p w14:paraId="7D60A1A6" w14:textId="1F285D42" w:rsidR="00BD2249" w:rsidRDefault="00BD2249" w:rsidP="00BD2249">
      <w:r w:rsidRPr="00BD2249">
        <w:t xml:space="preserve">Upon receipt, the CAMICB staff </w:t>
      </w:r>
      <w:r w:rsidR="00112D0F">
        <w:t>will conduct</w:t>
      </w:r>
      <w:r w:rsidRPr="00BD2249">
        <w:t xml:space="preserve"> a preliminary review to verify </w:t>
      </w:r>
      <w:r w:rsidR="00C37472" w:rsidRPr="00BD2249">
        <w:t xml:space="preserve">adherence to required practices </w:t>
      </w:r>
      <w:r w:rsidR="00C37472">
        <w:t xml:space="preserve">and </w:t>
      </w:r>
      <w:r w:rsidRPr="00BD2249">
        <w:t xml:space="preserve">the </w:t>
      </w:r>
      <w:r w:rsidR="006F1BCA">
        <w:t>submission of required</w:t>
      </w:r>
      <w:r w:rsidRPr="00BD2249">
        <w:t xml:space="preserve"> documentation</w:t>
      </w:r>
      <w:r w:rsidR="00C37472">
        <w:t xml:space="preserve">. </w:t>
      </w:r>
      <w:r w:rsidR="006F1BCA">
        <w:t>If necessary, staff will request</w:t>
      </w:r>
      <w:r w:rsidRPr="00BD2249">
        <w:t xml:space="preserve"> additional information </w:t>
      </w:r>
      <w:r w:rsidR="006F1BCA">
        <w:t>and/or documentation from the provider</w:t>
      </w:r>
      <w:r w:rsidR="00013B2B">
        <w:t xml:space="preserve">, designating </w:t>
      </w:r>
      <w:r w:rsidR="00EB091F">
        <w:t>a timeframe for submission.</w:t>
      </w:r>
      <w:r w:rsidR="0033022B">
        <w:t xml:space="preserve"> The provider must respond within the designated timeframe to avoid delay or </w:t>
      </w:r>
      <w:r w:rsidRPr="001E04FC">
        <w:t xml:space="preserve">withdrawal of the </w:t>
      </w:r>
      <w:r w:rsidR="0096481D" w:rsidRPr="001E04FC">
        <w:t>application</w:t>
      </w:r>
      <w:r w:rsidRPr="001E04FC">
        <w:t>.</w:t>
      </w:r>
    </w:p>
    <w:p w14:paraId="74DB2D23" w14:textId="7E1CA253" w:rsidR="0057394E" w:rsidRDefault="0057394E" w:rsidP="0057394E">
      <w:r>
        <w:t>Following th</w:t>
      </w:r>
      <w:r w:rsidR="003070C7">
        <w:t>e</w:t>
      </w:r>
      <w:r>
        <w:t xml:space="preserve"> initial review, </w:t>
      </w:r>
      <w:r w:rsidR="003070C7">
        <w:t>CAMICB’s</w:t>
      </w:r>
      <w:r>
        <w:t xml:space="preserve"> Prerequisite Education Committee, composed of </w:t>
      </w:r>
      <w:r w:rsidR="00A32576">
        <w:t xml:space="preserve">subject </w:t>
      </w:r>
      <w:r>
        <w:t>matter experts</w:t>
      </w:r>
      <w:r w:rsidR="0097652A">
        <w:t xml:space="preserve"> from the community association management field</w:t>
      </w:r>
      <w:r>
        <w:t xml:space="preserve">, </w:t>
      </w:r>
      <w:r w:rsidR="00EC19D7">
        <w:t>will use the</w:t>
      </w:r>
      <w:r w:rsidR="0018773F">
        <w:t xml:space="preserve"> submitted documentation to evaluate</w:t>
      </w:r>
      <w:r>
        <w:t xml:space="preserve"> the course</w:t>
      </w:r>
      <w:r w:rsidR="008D5B64">
        <w:t>’</w:t>
      </w:r>
      <w:r>
        <w:t>s alignment with the CMCA content outline. Th</w:t>
      </w:r>
      <w:r w:rsidR="008937DC">
        <w:t>e</w:t>
      </w:r>
      <w:r>
        <w:t xml:space="preserve"> </w:t>
      </w:r>
      <w:r w:rsidR="0084105C">
        <w:t>Committee will assess</w:t>
      </w:r>
      <w:r>
        <w:t xml:space="preserve"> </w:t>
      </w:r>
      <w:r w:rsidR="00EB44FE">
        <w:t xml:space="preserve">the degree to which the course </w:t>
      </w:r>
      <w:r w:rsidR="00FB6FDF">
        <w:t xml:space="preserve">addresses the topics covered on the CMCA exam, </w:t>
      </w:r>
      <w:r>
        <w:t xml:space="preserve">ensuring </w:t>
      </w:r>
      <w:r w:rsidR="008937DC">
        <w:t xml:space="preserve">approved </w:t>
      </w:r>
      <w:r>
        <w:t xml:space="preserve">courses sufficiently prepare candidates for the CMCA examination. </w:t>
      </w:r>
      <w:r w:rsidR="00717215">
        <w:t xml:space="preserve">The assessment </w:t>
      </w:r>
      <w:r w:rsidR="00F7773D">
        <w:t>uses</w:t>
      </w:r>
      <w:r w:rsidR="00C03B2B" w:rsidRPr="00C03B2B">
        <w:t xml:space="preserve"> the Rubric for CMCA Course Alignment, included as an appendix at the end of this </w:t>
      </w:r>
      <w:r w:rsidR="00717215">
        <w:t>application</w:t>
      </w:r>
      <w:r w:rsidR="00C03B2B" w:rsidRPr="00C03B2B">
        <w:t>. Refer to the Rubric for further details on the alignment specifications and review process.</w:t>
      </w:r>
      <w:r w:rsidR="00717215" w:rsidRPr="00717215">
        <w:t xml:space="preserve"> </w:t>
      </w:r>
      <w:r w:rsidR="00717215">
        <w:t xml:space="preserve">If </w:t>
      </w:r>
      <w:r w:rsidR="00735E59">
        <w:t>misalignments are identified, the provider will be given detailed feedback and</w:t>
      </w:r>
      <w:r w:rsidR="00717215">
        <w:t xml:space="preserve"> clear timelines for making necessary adjustments and seeking reevaluation.</w:t>
      </w:r>
    </w:p>
    <w:p w14:paraId="174D788F" w14:textId="5326FC5F" w:rsidR="0057394E" w:rsidRDefault="0057394E" w:rsidP="0057394E">
      <w:r>
        <w:t xml:space="preserve">Upon meeting all approval criteria, </w:t>
      </w:r>
      <w:r w:rsidR="0096481D">
        <w:t xml:space="preserve">CAMICB </w:t>
      </w:r>
      <w:r w:rsidR="006A3FF1">
        <w:t>will grant</w:t>
      </w:r>
      <w:r w:rsidR="0096481D">
        <w:t xml:space="preserve"> an Approval Certificate</w:t>
      </w:r>
      <w:r w:rsidR="00A04356">
        <w:t xml:space="preserve"> to the course provider</w:t>
      </w:r>
      <w:r w:rsidR="00554896">
        <w:t xml:space="preserve">. The certificate </w:t>
      </w:r>
      <w:r w:rsidR="0096481D">
        <w:t>outlines the course</w:t>
      </w:r>
      <w:r w:rsidR="008D5B64">
        <w:t>’</w:t>
      </w:r>
      <w:r w:rsidR="0096481D">
        <w:t>s compliance, the provider</w:t>
      </w:r>
      <w:r w:rsidR="008D5B64">
        <w:t>’</w:t>
      </w:r>
      <w:r w:rsidR="0096481D">
        <w:t>s details, and the approval validity period</w:t>
      </w:r>
      <w:r>
        <w:t xml:space="preserve">. </w:t>
      </w:r>
      <w:r w:rsidR="00554896">
        <w:t>W</w:t>
      </w:r>
      <w:r>
        <w:t xml:space="preserve">ith this approval, </w:t>
      </w:r>
      <w:r w:rsidR="00554896">
        <w:t xml:space="preserve">the provider is </w:t>
      </w:r>
      <w:r>
        <w:t>granted the privilege to use the CAMICB and CMCA symbols, signifying their course</w:t>
      </w:r>
      <w:r w:rsidR="008D5B64">
        <w:t>’</w:t>
      </w:r>
      <w:r>
        <w:t xml:space="preserve">s </w:t>
      </w:r>
      <w:r w:rsidR="006A3FF1">
        <w:t>compliance</w:t>
      </w:r>
      <w:r>
        <w:t xml:space="preserve"> with the high standards set forth by CAMICB.</w:t>
      </w:r>
    </w:p>
    <w:p w14:paraId="5000ADD9" w14:textId="77777777" w:rsidR="00C27366" w:rsidRDefault="00C27366" w:rsidP="00C27366">
      <w:pPr>
        <w:pStyle w:val="Heading1"/>
      </w:pPr>
      <w:r>
        <w:t xml:space="preserve">Withdrawal or Suspension of Approval </w:t>
      </w:r>
    </w:p>
    <w:p w14:paraId="45AE6FB8" w14:textId="426CFB6E" w:rsidR="00C27366" w:rsidRDefault="00C27366" w:rsidP="0057394E">
      <w:r>
        <w:t>The course provider</w:t>
      </w:r>
      <w:r w:rsidRPr="008D5B64">
        <w:t xml:space="preserve"> may voluntarily withdraw their course approval at any time. Additionally, </w:t>
      </w:r>
      <w:r>
        <w:t>CAMICB</w:t>
      </w:r>
      <w:r w:rsidRPr="008D5B64">
        <w:t xml:space="preserve"> reserves the right to withdraw or suspend a course</w:t>
      </w:r>
      <w:r>
        <w:t>’</w:t>
      </w:r>
      <w:r w:rsidRPr="008D5B64">
        <w:t xml:space="preserve">s approval under </w:t>
      </w:r>
      <w:r w:rsidR="002271BC">
        <w:t>certain</w:t>
      </w:r>
      <w:r w:rsidRPr="008D5B64">
        <w:t xml:space="preserve"> circumstances, including insolvency, evidence of noncompliance with CAMICB standards, or fraudulent behavior. </w:t>
      </w:r>
    </w:p>
    <w:p w14:paraId="7A766D25" w14:textId="7DAFF24B" w:rsidR="002875AE" w:rsidRDefault="002875AE" w:rsidP="0057394E">
      <w:r>
        <w:t xml:space="preserve">Providers will receive written notification and have 30 days to respond with evidence or request a hearing. A review committee will investigate and </w:t>
      </w:r>
      <w:r w:rsidR="0030292E">
        <w:t>decide</w:t>
      </w:r>
      <w:r>
        <w:t xml:space="preserve">, which will be communicated in writing. Providers can appeal the decision within 30 days to an independent appeal committee, which will </w:t>
      </w:r>
      <w:r>
        <w:lastRenderedPageBreak/>
        <w:t>review and issue a final decision within 60 days. All steps and communications will be documented to ensure transparency and fairness.</w:t>
      </w:r>
    </w:p>
    <w:p w14:paraId="33906448" w14:textId="4563E4F7" w:rsidR="002875AE" w:rsidRPr="00BD2249" w:rsidRDefault="002875AE" w:rsidP="0057394E">
      <w:r w:rsidRPr="008D5B64">
        <w:t xml:space="preserve">Upon suspension or withdrawal, </w:t>
      </w:r>
      <w:r>
        <w:t>the provider</w:t>
      </w:r>
      <w:r w:rsidRPr="008D5B64">
        <w:t xml:space="preserve"> must cease using the CMCA symbol and referencing their course as a CAMICB-approved prerequisite</w:t>
      </w:r>
      <w:r>
        <w:t xml:space="preserve">. The provider must </w:t>
      </w:r>
      <w:r w:rsidRPr="008D5B64">
        <w:t>return any approval documents to CAMICB as requested.</w:t>
      </w:r>
    </w:p>
    <w:p w14:paraId="00D8CC79" w14:textId="7F265F74" w:rsidR="00306626" w:rsidRPr="00BD2249" w:rsidRDefault="00306626" w:rsidP="00BD2249">
      <w:pPr>
        <w:pStyle w:val="Heading1"/>
        <w:rPr>
          <w:rFonts w:asciiTheme="minorHAnsi" w:eastAsiaTheme="minorHAnsi" w:hAnsiTheme="minorHAnsi" w:cstheme="minorBidi"/>
          <w:color w:val="auto"/>
          <w:sz w:val="22"/>
          <w:szCs w:val="22"/>
        </w:rPr>
      </w:pPr>
      <w:r>
        <w:t xml:space="preserve">Reapproval Process </w:t>
      </w:r>
    </w:p>
    <w:p w14:paraId="52A13873" w14:textId="599DA238" w:rsidR="00086F15" w:rsidRDefault="0096481D" w:rsidP="0096481D">
      <w:r w:rsidRPr="0096481D">
        <w:t xml:space="preserve">To ensure ongoing relevance and compliance, approved courses must undergo scheduled reevaluation </w:t>
      </w:r>
      <w:r w:rsidR="00A51986">
        <w:t xml:space="preserve">following the completion of the </w:t>
      </w:r>
      <w:r w:rsidR="00B03E5E">
        <w:t xml:space="preserve">CMCA job analysis, which CAMICB </w:t>
      </w:r>
      <w:r w:rsidR="00086F15">
        <w:t xml:space="preserve">performs approximately every five years. </w:t>
      </w:r>
      <w:r w:rsidR="00EF370E" w:rsidRPr="00DB2C86">
        <w:t xml:space="preserve">CAMICB will notify providers </w:t>
      </w:r>
      <w:r w:rsidR="00AF1BA5">
        <w:t>well in advance of</w:t>
      </w:r>
      <w:r w:rsidR="00EF370E" w:rsidRPr="00DB2C86">
        <w:t xml:space="preserve"> the scheduled reevaluation</w:t>
      </w:r>
      <w:r w:rsidR="00AF1BA5">
        <w:t xml:space="preserve"> period</w:t>
      </w:r>
      <w:r w:rsidR="00EF370E">
        <w:t>.</w:t>
      </w:r>
      <w:r w:rsidR="00FB7C82">
        <w:t xml:space="preserve"> Providers will be notified if delays in the job analysis</w:t>
      </w:r>
      <w:r w:rsidR="00AF1BA5">
        <w:t xml:space="preserve"> cycle</w:t>
      </w:r>
      <w:r w:rsidR="00FB7C82">
        <w:t xml:space="preserve"> result in </w:t>
      </w:r>
      <w:r w:rsidR="00AF1BA5">
        <w:t xml:space="preserve">postponement or extension of the reevaluation period. </w:t>
      </w:r>
      <w:r w:rsidR="000C18CB">
        <w:t xml:space="preserve">CAMICB may also initiate an ad hoc reevaluation of the course outside of the usual </w:t>
      </w:r>
      <w:r w:rsidR="003E2BCE">
        <w:t xml:space="preserve">five-year cycle in the event of </w:t>
      </w:r>
      <w:r w:rsidR="0096225D">
        <w:t>non-compliance or significant changes in the organizational structure or purpose of the course provider.</w:t>
      </w:r>
    </w:p>
    <w:p w14:paraId="329D8542" w14:textId="77777777" w:rsidR="00954A36" w:rsidRDefault="00954A36">
      <w:pPr>
        <w:sectPr w:rsidR="00954A36" w:rsidSect="008F5240">
          <w:footerReference w:type="default" r:id="rId12"/>
          <w:pgSz w:w="12240" w:h="15840"/>
          <w:pgMar w:top="1440" w:right="1440" w:bottom="1440" w:left="1440" w:header="720" w:footer="720" w:gutter="0"/>
          <w:cols w:space="720"/>
          <w:docGrid w:linePitch="360"/>
        </w:sectPr>
      </w:pPr>
    </w:p>
    <w:p w14:paraId="4B85F3E1" w14:textId="5EECC6EA" w:rsidR="005D296B" w:rsidRDefault="005D296B" w:rsidP="003C21EB">
      <w:pPr>
        <w:pStyle w:val="Heading1"/>
      </w:pPr>
      <w:r>
        <w:lastRenderedPageBreak/>
        <w:t>Application</w:t>
      </w:r>
      <w:r w:rsidR="003C21EB">
        <w:t xml:space="preserve"> Details</w:t>
      </w:r>
    </w:p>
    <w:p w14:paraId="6B762CDE" w14:textId="77777777" w:rsidR="00372DD2" w:rsidRDefault="00372DD2" w:rsidP="00696083">
      <w:pPr>
        <w:spacing w:after="0"/>
      </w:pPr>
    </w:p>
    <w:tbl>
      <w:tblPr>
        <w:tblStyle w:val="TableGrid"/>
        <w:tblW w:w="0" w:type="auto"/>
        <w:tblLook w:val="04A0" w:firstRow="1" w:lastRow="0" w:firstColumn="1" w:lastColumn="0" w:noHBand="0" w:noVBand="1"/>
      </w:tblPr>
      <w:tblGrid>
        <w:gridCol w:w="724"/>
        <w:gridCol w:w="270"/>
        <w:gridCol w:w="715"/>
        <w:gridCol w:w="95"/>
        <w:gridCol w:w="542"/>
        <w:gridCol w:w="3991"/>
        <w:gridCol w:w="3013"/>
      </w:tblGrid>
      <w:tr w:rsidR="00F82884" w14:paraId="6B6DAD2D" w14:textId="77777777" w:rsidTr="008D4AF8">
        <w:tc>
          <w:tcPr>
            <w:tcW w:w="9350" w:type="dxa"/>
            <w:gridSpan w:val="7"/>
            <w:shd w:val="clear" w:color="auto" w:fill="ECF2FA"/>
          </w:tcPr>
          <w:p w14:paraId="28A8B67D" w14:textId="091B31BF" w:rsidR="00F82884" w:rsidRDefault="00F82884" w:rsidP="00696083">
            <w:pPr>
              <w:pStyle w:val="Heading2"/>
            </w:pPr>
            <w:r>
              <w:t>Organization Information</w:t>
            </w:r>
          </w:p>
        </w:tc>
      </w:tr>
      <w:tr w:rsidR="00F82884" w14:paraId="26FB35CC" w14:textId="77777777" w:rsidTr="00F82884">
        <w:tc>
          <w:tcPr>
            <w:tcW w:w="2346" w:type="dxa"/>
            <w:gridSpan w:val="5"/>
          </w:tcPr>
          <w:p w14:paraId="26BEAB88" w14:textId="79928930" w:rsidR="00F82884" w:rsidRDefault="00F82884" w:rsidP="00C674CD">
            <w:r>
              <w:t>Name of Organization:</w:t>
            </w:r>
          </w:p>
        </w:tc>
        <w:sdt>
          <w:sdtPr>
            <w:id w:val="34096337"/>
            <w:placeholder>
              <w:docPart w:val="DefaultPlaceholder_-1854013440"/>
            </w:placeholder>
            <w:showingPlcHdr/>
          </w:sdtPr>
          <w:sdtEndPr/>
          <w:sdtContent>
            <w:tc>
              <w:tcPr>
                <w:tcW w:w="7004" w:type="dxa"/>
                <w:gridSpan w:val="2"/>
              </w:tcPr>
              <w:p w14:paraId="7BC746FC" w14:textId="3105035A" w:rsidR="00F82884" w:rsidRDefault="00BD37D8" w:rsidP="00C674CD">
                <w:r w:rsidRPr="00D45EA7">
                  <w:rPr>
                    <w:rStyle w:val="PlaceholderText"/>
                  </w:rPr>
                  <w:t>Click or tap here to enter text.</w:t>
                </w:r>
              </w:p>
            </w:tc>
          </w:sdtContent>
        </w:sdt>
      </w:tr>
      <w:tr w:rsidR="007A42BC" w:rsidRPr="00FA310B" w14:paraId="55F93B4C" w14:textId="77777777" w:rsidTr="00F82884">
        <w:tc>
          <w:tcPr>
            <w:tcW w:w="6337" w:type="dxa"/>
            <w:gridSpan w:val="6"/>
          </w:tcPr>
          <w:p w14:paraId="69999A65" w14:textId="36DE0E5D" w:rsidR="007A42BC" w:rsidRPr="00FA310B" w:rsidRDefault="007A42BC" w:rsidP="00C674CD">
            <w:r w:rsidRPr="00FA310B">
              <w:t>Entity Type</w:t>
            </w:r>
            <w:r w:rsidR="00FA310B" w:rsidRPr="00FA310B">
              <w:t xml:space="preserve"> (e.g., nonp</w:t>
            </w:r>
            <w:r w:rsidR="00FA310B">
              <w:t xml:space="preserve">rofit, for-profit, educational institution, etc.): </w:t>
            </w:r>
          </w:p>
        </w:tc>
        <w:sdt>
          <w:sdtPr>
            <w:id w:val="-1199313787"/>
            <w:placeholder>
              <w:docPart w:val="DefaultPlaceholder_-1854013440"/>
            </w:placeholder>
            <w:showingPlcHdr/>
          </w:sdtPr>
          <w:sdtEndPr/>
          <w:sdtContent>
            <w:tc>
              <w:tcPr>
                <w:tcW w:w="3013" w:type="dxa"/>
              </w:tcPr>
              <w:p w14:paraId="44C5090E" w14:textId="11FFDE3E" w:rsidR="007A42BC" w:rsidRPr="00FA310B" w:rsidRDefault="00BD37D8" w:rsidP="00C674CD">
                <w:r w:rsidRPr="00D45EA7">
                  <w:rPr>
                    <w:rStyle w:val="PlaceholderText"/>
                  </w:rPr>
                  <w:t>Click or tap here to enter text.</w:t>
                </w:r>
              </w:p>
            </w:tc>
          </w:sdtContent>
        </w:sdt>
      </w:tr>
      <w:tr w:rsidR="007A42BC" w:rsidRPr="00FA310B" w14:paraId="007D945C" w14:textId="77777777" w:rsidTr="00F82884">
        <w:tc>
          <w:tcPr>
            <w:tcW w:w="1709" w:type="dxa"/>
            <w:gridSpan w:val="3"/>
          </w:tcPr>
          <w:p w14:paraId="5564AAF3" w14:textId="0670E23E" w:rsidR="007A42BC" w:rsidRPr="00FA310B" w:rsidRDefault="000D6603" w:rsidP="00C674CD">
            <w:r>
              <w:t xml:space="preserve">Street </w:t>
            </w:r>
            <w:r w:rsidR="00FA310B">
              <w:t>Address</w:t>
            </w:r>
            <w:r w:rsidR="005074AF">
              <w:t xml:space="preserve">: </w:t>
            </w:r>
          </w:p>
        </w:tc>
        <w:sdt>
          <w:sdtPr>
            <w:id w:val="-583145673"/>
            <w:placeholder>
              <w:docPart w:val="DefaultPlaceholder_-1854013440"/>
            </w:placeholder>
            <w:showingPlcHdr/>
          </w:sdtPr>
          <w:sdtEndPr/>
          <w:sdtContent>
            <w:tc>
              <w:tcPr>
                <w:tcW w:w="7641" w:type="dxa"/>
                <w:gridSpan w:val="4"/>
              </w:tcPr>
              <w:p w14:paraId="11FF0C0A" w14:textId="50B549D7" w:rsidR="005074AF" w:rsidRPr="00FA310B" w:rsidRDefault="00BD37D8" w:rsidP="00C674CD">
                <w:r w:rsidRPr="00D45EA7">
                  <w:rPr>
                    <w:rStyle w:val="PlaceholderText"/>
                  </w:rPr>
                  <w:t>Click or tap here to enter text.</w:t>
                </w:r>
              </w:p>
            </w:tc>
          </w:sdtContent>
        </w:sdt>
      </w:tr>
      <w:tr w:rsidR="007A42BC" w:rsidRPr="00FA310B" w14:paraId="1B60E0F5" w14:textId="77777777" w:rsidTr="00F82884">
        <w:tc>
          <w:tcPr>
            <w:tcW w:w="724" w:type="dxa"/>
          </w:tcPr>
          <w:p w14:paraId="6CB12DCA" w14:textId="0E0A2DF5" w:rsidR="007A42BC" w:rsidRPr="00FA310B" w:rsidRDefault="005074AF" w:rsidP="00C674CD">
            <w:r>
              <w:t>City:</w:t>
            </w:r>
          </w:p>
        </w:tc>
        <w:sdt>
          <w:sdtPr>
            <w:id w:val="1698193128"/>
            <w:placeholder>
              <w:docPart w:val="DefaultPlaceholder_-1854013440"/>
            </w:placeholder>
            <w:showingPlcHdr/>
          </w:sdtPr>
          <w:sdtEndPr/>
          <w:sdtContent>
            <w:tc>
              <w:tcPr>
                <w:tcW w:w="8626" w:type="dxa"/>
                <w:gridSpan w:val="6"/>
              </w:tcPr>
              <w:p w14:paraId="64368A34" w14:textId="1CF2F5A9" w:rsidR="007A42BC" w:rsidRPr="00FA310B" w:rsidRDefault="00BD37D8" w:rsidP="00C674CD">
                <w:r w:rsidRPr="00D45EA7">
                  <w:rPr>
                    <w:rStyle w:val="PlaceholderText"/>
                  </w:rPr>
                  <w:t>Click or tap here to enter text.</w:t>
                </w:r>
              </w:p>
            </w:tc>
          </w:sdtContent>
        </w:sdt>
      </w:tr>
      <w:tr w:rsidR="007A42BC" w:rsidRPr="00FA310B" w14:paraId="0CC9DC4D" w14:textId="77777777" w:rsidTr="00F82884">
        <w:tc>
          <w:tcPr>
            <w:tcW w:w="994" w:type="dxa"/>
            <w:gridSpan w:val="2"/>
          </w:tcPr>
          <w:p w14:paraId="6EA2D857" w14:textId="41FD42E1" w:rsidR="007A42BC" w:rsidRPr="00FA310B" w:rsidRDefault="000D6603" w:rsidP="00C674CD">
            <w:r>
              <w:t>Country:</w:t>
            </w:r>
          </w:p>
        </w:tc>
        <w:sdt>
          <w:sdtPr>
            <w:id w:val="837427838"/>
            <w:placeholder>
              <w:docPart w:val="DefaultPlaceholder_-1854013440"/>
            </w:placeholder>
            <w:showingPlcHdr/>
          </w:sdtPr>
          <w:sdtEndPr/>
          <w:sdtContent>
            <w:tc>
              <w:tcPr>
                <w:tcW w:w="8356" w:type="dxa"/>
                <w:gridSpan w:val="5"/>
              </w:tcPr>
              <w:p w14:paraId="78526A6D" w14:textId="4EA2B44E" w:rsidR="007A42BC" w:rsidRPr="00FA310B" w:rsidRDefault="00BD37D8" w:rsidP="00C674CD">
                <w:r w:rsidRPr="00D45EA7">
                  <w:rPr>
                    <w:rStyle w:val="PlaceholderText"/>
                  </w:rPr>
                  <w:t>Click or tap here to enter text.</w:t>
                </w:r>
              </w:p>
            </w:tc>
          </w:sdtContent>
        </w:sdt>
      </w:tr>
      <w:tr w:rsidR="000D6603" w:rsidRPr="00FA310B" w14:paraId="689EB42C" w14:textId="77777777" w:rsidTr="00F82884">
        <w:tc>
          <w:tcPr>
            <w:tcW w:w="1804" w:type="dxa"/>
            <w:gridSpan w:val="4"/>
          </w:tcPr>
          <w:p w14:paraId="026F98F0" w14:textId="3E21DFD0" w:rsidR="000D6603" w:rsidRPr="00FA310B" w:rsidRDefault="000D6603" w:rsidP="00C674CD">
            <w:r>
              <w:t xml:space="preserve">Zip/Postal Code: </w:t>
            </w:r>
          </w:p>
        </w:tc>
        <w:sdt>
          <w:sdtPr>
            <w:id w:val="-1381232218"/>
            <w:placeholder>
              <w:docPart w:val="DefaultPlaceholder_-1854013440"/>
            </w:placeholder>
            <w:showingPlcHdr/>
          </w:sdtPr>
          <w:sdtEndPr/>
          <w:sdtContent>
            <w:tc>
              <w:tcPr>
                <w:tcW w:w="7546" w:type="dxa"/>
                <w:gridSpan w:val="3"/>
              </w:tcPr>
              <w:p w14:paraId="0E4ADA20" w14:textId="3463BD70" w:rsidR="000D6603" w:rsidRPr="00FA310B" w:rsidRDefault="00BD37D8" w:rsidP="00C674CD">
                <w:r w:rsidRPr="00D45EA7">
                  <w:rPr>
                    <w:rStyle w:val="PlaceholderText"/>
                  </w:rPr>
                  <w:t>Click or tap here to enter text.</w:t>
                </w:r>
              </w:p>
            </w:tc>
          </w:sdtContent>
        </w:sdt>
      </w:tr>
    </w:tbl>
    <w:p w14:paraId="710568CD" w14:textId="77777777" w:rsidR="007A42BC" w:rsidRPr="00FA310B" w:rsidRDefault="007A42BC" w:rsidP="00C674CD"/>
    <w:tbl>
      <w:tblPr>
        <w:tblStyle w:val="TableGrid"/>
        <w:tblW w:w="0" w:type="auto"/>
        <w:tblLook w:val="04A0" w:firstRow="1" w:lastRow="0" w:firstColumn="1" w:lastColumn="0" w:noHBand="0" w:noVBand="1"/>
      </w:tblPr>
      <w:tblGrid>
        <w:gridCol w:w="1525"/>
        <w:gridCol w:w="90"/>
        <w:gridCol w:w="90"/>
        <w:gridCol w:w="7645"/>
      </w:tblGrid>
      <w:tr w:rsidR="00F82884" w14:paraId="7CA0C753" w14:textId="77777777" w:rsidTr="008D4AF8">
        <w:tc>
          <w:tcPr>
            <w:tcW w:w="9350" w:type="dxa"/>
            <w:gridSpan w:val="4"/>
            <w:shd w:val="clear" w:color="auto" w:fill="ECF2FA"/>
          </w:tcPr>
          <w:p w14:paraId="3B13AB56" w14:textId="6628A846" w:rsidR="00F82884" w:rsidRDefault="00F82884" w:rsidP="00696083">
            <w:pPr>
              <w:pStyle w:val="Heading2"/>
            </w:pPr>
            <w:r>
              <w:t xml:space="preserve">Application Contact Information </w:t>
            </w:r>
          </w:p>
        </w:tc>
      </w:tr>
      <w:tr w:rsidR="00F82884" w14:paraId="4B415EF7" w14:textId="77777777" w:rsidTr="00F82884">
        <w:tc>
          <w:tcPr>
            <w:tcW w:w="1615" w:type="dxa"/>
            <w:gridSpan w:val="2"/>
          </w:tcPr>
          <w:p w14:paraId="4CE421F6" w14:textId="5646DD97" w:rsidR="00F82884" w:rsidRDefault="00F82884" w:rsidP="00C674CD">
            <w:r>
              <w:t>Contact Name:</w:t>
            </w:r>
          </w:p>
        </w:tc>
        <w:sdt>
          <w:sdtPr>
            <w:id w:val="923536620"/>
            <w:placeholder>
              <w:docPart w:val="DefaultPlaceholder_-1854013440"/>
            </w:placeholder>
            <w:showingPlcHdr/>
          </w:sdtPr>
          <w:sdtEndPr/>
          <w:sdtContent>
            <w:tc>
              <w:tcPr>
                <w:tcW w:w="7735" w:type="dxa"/>
                <w:gridSpan w:val="2"/>
              </w:tcPr>
              <w:p w14:paraId="66F7CB5B" w14:textId="79486E88" w:rsidR="00F82884" w:rsidRDefault="00BD37D8" w:rsidP="00C674CD">
                <w:r w:rsidRPr="00D45EA7">
                  <w:rPr>
                    <w:rStyle w:val="PlaceholderText"/>
                  </w:rPr>
                  <w:t>Click or tap here to enter text.</w:t>
                </w:r>
              </w:p>
            </w:tc>
          </w:sdtContent>
        </w:sdt>
      </w:tr>
      <w:tr w:rsidR="000D6603" w14:paraId="410107B7" w14:textId="77777777" w:rsidTr="00F82884">
        <w:tc>
          <w:tcPr>
            <w:tcW w:w="1525" w:type="dxa"/>
          </w:tcPr>
          <w:p w14:paraId="3F0BA720" w14:textId="60FBCFCB" w:rsidR="000D6603" w:rsidRDefault="00F82884" w:rsidP="00C674CD">
            <w:r>
              <w:t>Contact Email:</w:t>
            </w:r>
          </w:p>
        </w:tc>
        <w:sdt>
          <w:sdtPr>
            <w:id w:val="2063516958"/>
            <w:placeholder>
              <w:docPart w:val="DefaultPlaceholder_-1854013440"/>
            </w:placeholder>
            <w:showingPlcHdr/>
          </w:sdtPr>
          <w:sdtEndPr/>
          <w:sdtContent>
            <w:tc>
              <w:tcPr>
                <w:tcW w:w="7825" w:type="dxa"/>
                <w:gridSpan w:val="3"/>
              </w:tcPr>
              <w:p w14:paraId="3D1746B9" w14:textId="37542C52" w:rsidR="000D6603" w:rsidRDefault="00BD37D8" w:rsidP="00C674CD">
                <w:r w:rsidRPr="00D45EA7">
                  <w:rPr>
                    <w:rStyle w:val="PlaceholderText"/>
                  </w:rPr>
                  <w:t>Click or tap here to enter text.</w:t>
                </w:r>
              </w:p>
            </w:tc>
          </w:sdtContent>
        </w:sdt>
      </w:tr>
      <w:tr w:rsidR="000D6603" w14:paraId="766F82E1" w14:textId="77777777" w:rsidTr="00F82884">
        <w:tc>
          <w:tcPr>
            <w:tcW w:w="1705" w:type="dxa"/>
            <w:gridSpan w:val="3"/>
          </w:tcPr>
          <w:p w14:paraId="5F91CF85" w14:textId="2213F26D" w:rsidR="000D6603" w:rsidRDefault="00F82884" w:rsidP="00C674CD">
            <w:r>
              <w:t>Contract Phone:</w:t>
            </w:r>
          </w:p>
        </w:tc>
        <w:sdt>
          <w:sdtPr>
            <w:id w:val="-914086338"/>
            <w:placeholder>
              <w:docPart w:val="DefaultPlaceholder_-1854013440"/>
            </w:placeholder>
            <w:showingPlcHdr/>
          </w:sdtPr>
          <w:sdtEndPr/>
          <w:sdtContent>
            <w:tc>
              <w:tcPr>
                <w:tcW w:w="7645" w:type="dxa"/>
              </w:tcPr>
              <w:p w14:paraId="77D30B90" w14:textId="38495762" w:rsidR="000D6603" w:rsidRDefault="00BD37D8" w:rsidP="00C674CD">
                <w:r w:rsidRPr="00D45EA7">
                  <w:rPr>
                    <w:rStyle w:val="PlaceholderText"/>
                  </w:rPr>
                  <w:t>Click or tap here to enter text.</w:t>
                </w:r>
              </w:p>
            </w:tc>
          </w:sdtContent>
        </w:sdt>
      </w:tr>
    </w:tbl>
    <w:p w14:paraId="2B4B8596" w14:textId="77777777" w:rsidR="000D6603" w:rsidRDefault="000D6603" w:rsidP="00C674CD"/>
    <w:tbl>
      <w:tblPr>
        <w:tblStyle w:val="TableGrid"/>
        <w:tblW w:w="0" w:type="auto"/>
        <w:tblLook w:val="04A0" w:firstRow="1" w:lastRow="0" w:firstColumn="1" w:lastColumn="0" w:noHBand="0" w:noVBand="1"/>
      </w:tblPr>
      <w:tblGrid>
        <w:gridCol w:w="1525"/>
        <w:gridCol w:w="3960"/>
        <w:gridCol w:w="810"/>
        <w:gridCol w:w="3055"/>
      </w:tblGrid>
      <w:tr w:rsidR="00975087" w14:paraId="5DC089BB" w14:textId="77777777" w:rsidTr="008D4AF8">
        <w:tc>
          <w:tcPr>
            <w:tcW w:w="9350" w:type="dxa"/>
            <w:gridSpan w:val="4"/>
            <w:shd w:val="clear" w:color="auto" w:fill="ECF2FA"/>
          </w:tcPr>
          <w:p w14:paraId="723B0876" w14:textId="7F1420CC" w:rsidR="00975087" w:rsidRDefault="00975087" w:rsidP="00696083">
            <w:pPr>
              <w:pStyle w:val="Heading2"/>
            </w:pPr>
            <w:r>
              <w:t>Course Information</w:t>
            </w:r>
          </w:p>
        </w:tc>
      </w:tr>
      <w:tr w:rsidR="00F82884" w14:paraId="2002E4C1" w14:textId="77777777" w:rsidTr="00975087">
        <w:tc>
          <w:tcPr>
            <w:tcW w:w="1525" w:type="dxa"/>
          </w:tcPr>
          <w:p w14:paraId="3E70B64E" w14:textId="5FA1B8D4" w:rsidR="00F82884" w:rsidRDefault="00975087" w:rsidP="00C674CD">
            <w:r>
              <w:t>Course Name:</w:t>
            </w:r>
          </w:p>
        </w:tc>
        <w:sdt>
          <w:sdtPr>
            <w:id w:val="-729303830"/>
            <w:placeholder>
              <w:docPart w:val="DefaultPlaceholder_-1854013440"/>
            </w:placeholder>
            <w:showingPlcHdr/>
          </w:sdtPr>
          <w:sdtEndPr/>
          <w:sdtContent>
            <w:tc>
              <w:tcPr>
                <w:tcW w:w="7825" w:type="dxa"/>
                <w:gridSpan w:val="3"/>
              </w:tcPr>
              <w:p w14:paraId="050EB358" w14:textId="631F50D3" w:rsidR="00F82884" w:rsidRDefault="00BD37D8" w:rsidP="00C674CD">
                <w:r w:rsidRPr="00D45EA7">
                  <w:rPr>
                    <w:rStyle w:val="PlaceholderText"/>
                  </w:rPr>
                  <w:t>Click or tap here to enter text.</w:t>
                </w:r>
              </w:p>
            </w:tc>
          </w:sdtContent>
        </w:sdt>
      </w:tr>
      <w:tr w:rsidR="00F82884" w14:paraId="56B3106A" w14:textId="77777777" w:rsidTr="00975087">
        <w:tc>
          <w:tcPr>
            <w:tcW w:w="5485" w:type="dxa"/>
            <w:gridSpan w:val="2"/>
          </w:tcPr>
          <w:p w14:paraId="2A0E72EB" w14:textId="2B8EA445" w:rsidR="00F82884" w:rsidRDefault="00975087" w:rsidP="00C674CD">
            <w:r>
              <w:t>P</w:t>
            </w:r>
            <w:r w:rsidRPr="00975087">
              <w:t xml:space="preserve">rimary </w:t>
            </w:r>
            <w:r>
              <w:t>D</w:t>
            </w:r>
            <w:r w:rsidRPr="00975087">
              <w:t xml:space="preserve">elivery </w:t>
            </w:r>
            <w:r>
              <w:t>M</w:t>
            </w:r>
            <w:r w:rsidRPr="00975087">
              <w:t>ethods (e.g., in-person, online, hybrid)</w:t>
            </w:r>
            <w:r>
              <w:t>:</w:t>
            </w:r>
          </w:p>
        </w:tc>
        <w:sdt>
          <w:sdtPr>
            <w:id w:val="1725484269"/>
            <w:placeholder>
              <w:docPart w:val="DefaultPlaceholder_-1854013440"/>
            </w:placeholder>
            <w:showingPlcHdr/>
          </w:sdtPr>
          <w:sdtEndPr/>
          <w:sdtContent>
            <w:tc>
              <w:tcPr>
                <w:tcW w:w="3865" w:type="dxa"/>
                <w:gridSpan w:val="2"/>
              </w:tcPr>
              <w:p w14:paraId="075B5AB2" w14:textId="07C0D715" w:rsidR="00F82884" w:rsidRDefault="00BD37D8" w:rsidP="00C674CD">
                <w:r w:rsidRPr="00D45EA7">
                  <w:rPr>
                    <w:rStyle w:val="PlaceholderText"/>
                  </w:rPr>
                  <w:t>Click or tap here to enter text.</w:t>
                </w:r>
              </w:p>
            </w:tc>
          </w:sdtContent>
        </w:sdt>
      </w:tr>
      <w:tr w:rsidR="00F82884" w14:paraId="45A981A4" w14:textId="77777777" w:rsidTr="00E93AC1">
        <w:tc>
          <w:tcPr>
            <w:tcW w:w="6295" w:type="dxa"/>
            <w:gridSpan w:val="3"/>
          </w:tcPr>
          <w:p w14:paraId="2E89A3BA" w14:textId="5C717481" w:rsidR="00F82884" w:rsidRDefault="008D4AF8" w:rsidP="00C674CD">
            <w:r>
              <w:t xml:space="preserve">Assessment Method (e.g., written exam, </w:t>
            </w:r>
            <w:r w:rsidR="00E93AC1">
              <w:t xml:space="preserve">oral exam, written report): </w:t>
            </w:r>
          </w:p>
        </w:tc>
        <w:sdt>
          <w:sdtPr>
            <w:id w:val="-656529244"/>
            <w:placeholder>
              <w:docPart w:val="DefaultPlaceholder_-1854013440"/>
            </w:placeholder>
            <w:showingPlcHdr/>
          </w:sdtPr>
          <w:sdtEndPr/>
          <w:sdtContent>
            <w:tc>
              <w:tcPr>
                <w:tcW w:w="3055" w:type="dxa"/>
              </w:tcPr>
              <w:p w14:paraId="715ADBA7" w14:textId="3E1F7D6E" w:rsidR="00F82884" w:rsidRDefault="004F7FE9" w:rsidP="00C674CD">
                <w:r w:rsidRPr="00D45EA7">
                  <w:rPr>
                    <w:rStyle w:val="PlaceholderText"/>
                  </w:rPr>
                  <w:t>Click or tap here to enter text.</w:t>
                </w:r>
              </w:p>
            </w:tc>
          </w:sdtContent>
        </w:sdt>
      </w:tr>
    </w:tbl>
    <w:p w14:paraId="3CA2A89A" w14:textId="77777777" w:rsidR="00F82884" w:rsidRDefault="00F82884" w:rsidP="00C674CD"/>
    <w:tbl>
      <w:tblPr>
        <w:tblStyle w:val="TableGrid"/>
        <w:tblW w:w="0" w:type="auto"/>
        <w:tblLook w:val="04A0" w:firstRow="1" w:lastRow="0" w:firstColumn="1" w:lastColumn="0" w:noHBand="0" w:noVBand="1"/>
      </w:tblPr>
      <w:tblGrid>
        <w:gridCol w:w="6115"/>
        <w:gridCol w:w="3235"/>
      </w:tblGrid>
      <w:tr w:rsidR="00696083" w14:paraId="3A5C573D" w14:textId="77777777" w:rsidTr="00696083">
        <w:tc>
          <w:tcPr>
            <w:tcW w:w="9350" w:type="dxa"/>
            <w:gridSpan w:val="2"/>
            <w:shd w:val="clear" w:color="auto" w:fill="ECF2FA"/>
          </w:tcPr>
          <w:p w14:paraId="72AEE38C" w14:textId="068F973B" w:rsidR="00696083" w:rsidRDefault="00696083" w:rsidP="00696083">
            <w:pPr>
              <w:pStyle w:val="Heading2"/>
            </w:pPr>
            <w:r>
              <w:t>Additional Information</w:t>
            </w:r>
          </w:p>
        </w:tc>
      </w:tr>
      <w:tr w:rsidR="00696083" w14:paraId="47D63736" w14:textId="77777777" w:rsidTr="00696083">
        <w:tc>
          <w:tcPr>
            <w:tcW w:w="6115" w:type="dxa"/>
          </w:tcPr>
          <w:p w14:paraId="038B8FDD" w14:textId="44BED8BF" w:rsidR="00696083" w:rsidRDefault="00696083" w:rsidP="00F9521C">
            <w:r w:rsidRPr="00696083">
              <w:t>Does your organization have affiliations or partnerships that influence the course content or delivery? If yes, please describe.</w:t>
            </w:r>
          </w:p>
        </w:tc>
        <w:sdt>
          <w:sdtPr>
            <w:id w:val="-1673321987"/>
            <w:placeholder>
              <w:docPart w:val="DefaultPlaceholder_-1854013440"/>
            </w:placeholder>
            <w:showingPlcHdr/>
          </w:sdtPr>
          <w:sdtEndPr/>
          <w:sdtContent>
            <w:tc>
              <w:tcPr>
                <w:tcW w:w="3235" w:type="dxa"/>
              </w:tcPr>
              <w:p w14:paraId="1C1AB674" w14:textId="2169CA55" w:rsidR="00696083" w:rsidRDefault="004F7FE9" w:rsidP="00F9521C">
                <w:r w:rsidRPr="00D45EA7">
                  <w:rPr>
                    <w:rStyle w:val="PlaceholderText"/>
                  </w:rPr>
                  <w:t>Click or tap here to enter text.</w:t>
                </w:r>
              </w:p>
            </w:tc>
          </w:sdtContent>
        </w:sdt>
      </w:tr>
      <w:tr w:rsidR="00696083" w14:paraId="2738B76C" w14:textId="77777777" w:rsidTr="00696083">
        <w:tc>
          <w:tcPr>
            <w:tcW w:w="6115" w:type="dxa"/>
          </w:tcPr>
          <w:p w14:paraId="0010FFDE" w14:textId="343B7292" w:rsidR="00696083" w:rsidRDefault="00696083" w:rsidP="00F9521C">
            <w:r w:rsidRPr="00696083">
              <w:t>Is there any other information you believe is relevant to this application?</w:t>
            </w:r>
          </w:p>
        </w:tc>
        <w:sdt>
          <w:sdtPr>
            <w:id w:val="-1321959946"/>
            <w:placeholder>
              <w:docPart w:val="DefaultPlaceholder_-1854013440"/>
            </w:placeholder>
            <w:showingPlcHdr/>
          </w:sdtPr>
          <w:sdtEndPr/>
          <w:sdtContent>
            <w:tc>
              <w:tcPr>
                <w:tcW w:w="3235" w:type="dxa"/>
              </w:tcPr>
              <w:p w14:paraId="273494AF" w14:textId="4F34DCF3" w:rsidR="00696083" w:rsidRDefault="004F7FE9" w:rsidP="00F9521C">
                <w:r w:rsidRPr="00D45EA7">
                  <w:rPr>
                    <w:rStyle w:val="PlaceholderText"/>
                  </w:rPr>
                  <w:t>Click or tap here to enter text.</w:t>
                </w:r>
              </w:p>
            </w:tc>
          </w:sdtContent>
        </w:sdt>
      </w:tr>
    </w:tbl>
    <w:p w14:paraId="18614A04" w14:textId="77777777" w:rsidR="00E93AC1" w:rsidRDefault="00E93AC1" w:rsidP="00F9521C"/>
    <w:p w14:paraId="165ADED8" w14:textId="77777777" w:rsidR="00954A36" w:rsidRDefault="00954A36" w:rsidP="008652C2">
      <w:pPr>
        <w:sectPr w:rsidR="00954A36" w:rsidSect="008F5240">
          <w:pgSz w:w="12240" w:h="15840"/>
          <w:pgMar w:top="1440" w:right="1440" w:bottom="1440" w:left="1440" w:header="720" w:footer="720" w:gutter="0"/>
          <w:cols w:space="720"/>
          <w:docGrid w:linePitch="360"/>
        </w:sectPr>
      </w:pPr>
    </w:p>
    <w:p w14:paraId="66FB3871" w14:textId="3E404A85" w:rsidR="004A286C" w:rsidRDefault="00AF5B0C" w:rsidP="004540DB">
      <w:pPr>
        <w:pStyle w:val="Heading1"/>
      </w:pPr>
      <w:r>
        <w:lastRenderedPageBreak/>
        <w:t xml:space="preserve">Requirement </w:t>
      </w:r>
      <w:r w:rsidR="004540DB">
        <w:t>1</w:t>
      </w:r>
      <w:r>
        <w:t>:</w:t>
      </w:r>
      <w:r w:rsidR="004540DB">
        <w:t xml:space="preserve"> </w:t>
      </w:r>
      <w:r w:rsidR="004A286C">
        <w:t>The Course Provider</w:t>
      </w:r>
    </w:p>
    <w:p w14:paraId="51C8414C" w14:textId="5ECFFF1C" w:rsidR="00C82A76" w:rsidRDefault="00C82B93" w:rsidP="00C82A76">
      <w:pPr>
        <w:spacing w:after="0"/>
      </w:pPr>
      <w:r w:rsidRPr="00E334E2">
        <w:t xml:space="preserve">The </w:t>
      </w:r>
      <w:r w:rsidR="00C4413E">
        <w:t xml:space="preserve">course </w:t>
      </w:r>
      <w:r w:rsidRPr="00E334E2">
        <w:t xml:space="preserve">provider must have a transparent system or structure for managing their educational courses. This system should align with and support the provider’s overall mission. </w:t>
      </w:r>
    </w:p>
    <w:p w14:paraId="3ADC7E30" w14:textId="77777777" w:rsidR="00C82A76" w:rsidRPr="00C82B93" w:rsidRDefault="00C82A76" w:rsidP="00C82A76">
      <w:pPr>
        <w:spacing w:after="0"/>
      </w:pPr>
    </w:p>
    <w:tbl>
      <w:tblPr>
        <w:tblStyle w:val="TableGrid"/>
        <w:tblW w:w="0" w:type="auto"/>
        <w:tblLook w:val="04A0" w:firstRow="1" w:lastRow="0" w:firstColumn="1" w:lastColumn="0" w:noHBand="0" w:noVBand="1"/>
      </w:tblPr>
      <w:tblGrid>
        <w:gridCol w:w="495"/>
        <w:gridCol w:w="8855"/>
      </w:tblGrid>
      <w:tr w:rsidR="00734C7E" w14:paraId="23BA51E8" w14:textId="77777777" w:rsidTr="00AF28F8">
        <w:trPr>
          <w:trHeight w:val="602"/>
        </w:trPr>
        <w:tc>
          <w:tcPr>
            <w:tcW w:w="495" w:type="dxa"/>
            <w:shd w:val="clear" w:color="auto" w:fill="ECF2FA"/>
          </w:tcPr>
          <w:p w14:paraId="0F9F8128" w14:textId="2FAC960B" w:rsidR="00734C7E" w:rsidRDefault="00734C7E" w:rsidP="00C82A76">
            <w:r>
              <w:t>1.1</w:t>
            </w:r>
          </w:p>
        </w:tc>
        <w:tc>
          <w:tcPr>
            <w:tcW w:w="8855" w:type="dxa"/>
            <w:shd w:val="clear" w:color="auto" w:fill="ECF2FA"/>
          </w:tcPr>
          <w:p w14:paraId="5247B367" w14:textId="4086CCD0" w:rsidR="00734C7E" w:rsidRDefault="00734C7E" w:rsidP="00C82A76">
            <w:r w:rsidRPr="00C327BB">
              <w:t xml:space="preserve">The </w:t>
            </w:r>
            <w:r>
              <w:t>provider</w:t>
            </w:r>
            <w:r w:rsidRPr="00C327BB">
              <w:t xml:space="preserve"> </w:t>
            </w:r>
            <w:r>
              <w:t>must</w:t>
            </w:r>
            <w:r w:rsidRPr="00C327BB">
              <w:t xml:space="preserve"> demonstrate a clear system for managing educational programs through a designated unit or an integrated approach within its broader organizational framework.</w:t>
            </w:r>
          </w:p>
        </w:tc>
      </w:tr>
      <w:tr w:rsidR="00734C7E" w14:paraId="0EAC39BC" w14:textId="77777777" w:rsidTr="00AF28F8">
        <w:trPr>
          <w:trHeight w:val="620"/>
        </w:trPr>
        <w:tc>
          <w:tcPr>
            <w:tcW w:w="495" w:type="dxa"/>
            <w:shd w:val="clear" w:color="auto" w:fill="ECF2FA"/>
          </w:tcPr>
          <w:p w14:paraId="60C0788B" w14:textId="5CB5F945" w:rsidR="00734C7E" w:rsidRDefault="00734C7E" w:rsidP="00C82A76">
            <w:r w:rsidRPr="00F10D92">
              <w:t>1.2</w:t>
            </w:r>
          </w:p>
        </w:tc>
        <w:tc>
          <w:tcPr>
            <w:tcW w:w="8855" w:type="dxa"/>
            <w:shd w:val="clear" w:color="auto" w:fill="ECF2FA"/>
          </w:tcPr>
          <w:p w14:paraId="52DD4BA7" w14:textId="187DE763" w:rsidR="00734C7E" w:rsidRDefault="00734C7E" w:rsidP="00C82A76">
            <w:r w:rsidRPr="00C327BB">
              <w:t xml:space="preserve">Educational activities </w:t>
            </w:r>
            <w:r w:rsidR="003C3E07">
              <w:t>must</w:t>
            </w:r>
            <w:r w:rsidRPr="00C327BB">
              <w:t xml:space="preserve"> support and be consistent with the organization</w:t>
            </w:r>
            <w:r>
              <w:t>’</w:t>
            </w:r>
            <w:r w:rsidRPr="00C327BB">
              <w:t>s mission and objectives.</w:t>
            </w:r>
          </w:p>
        </w:tc>
      </w:tr>
    </w:tbl>
    <w:p w14:paraId="5C1BB9C7" w14:textId="77777777" w:rsidR="00AC613E" w:rsidRDefault="00AF28F8" w:rsidP="000210B6">
      <w:pPr>
        <w:spacing w:after="0"/>
        <w:rPr>
          <w:i/>
          <w:iCs/>
        </w:rPr>
      </w:pPr>
      <w:r w:rsidRPr="00AF28F8">
        <w:rPr>
          <w:i/>
          <w:iCs/>
        </w:rPr>
        <w:t xml:space="preserve">Describe your organizational structure or system for managing and delivering educational programs. </w:t>
      </w:r>
      <w:r w:rsidR="00AC613E">
        <w:rPr>
          <w:i/>
          <w:iCs/>
        </w:rPr>
        <w:t>You may include relevant supporting documents such as the organization’s mission statement, organizational charts, process flow diagrams, or integrated approach descriptions.</w:t>
      </w:r>
    </w:p>
    <w:p w14:paraId="50AFE060" w14:textId="7A289500" w:rsidR="000210B6" w:rsidRDefault="00746B49" w:rsidP="000210B6">
      <w:pPr>
        <w:spacing w:after="0"/>
        <w:rPr>
          <w:i/>
          <w:iCs/>
        </w:rPr>
      </w:pPr>
      <w:sdt>
        <w:sdtPr>
          <w:rPr>
            <w:i/>
            <w:iCs/>
          </w:rPr>
          <w:id w:val="-362446148"/>
          <w:placeholder>
            <w:docPart w:val="A07D3557A2024FB785F05940A3BC6581"/>
          </w:placeholder>
          <w:showingPlcHdr/>
        </w:sdtPr>
        <w:sdtEndPr/>
        <w:sdtContent>
          <w:r w:rsidR="006573D8" w:rsidRPr="00D45EA7">
            <w:rPr>
              <w:rStyle w:val="PlaceholderText"/>
            </w:rPr>
            <w:t>Click or tap here to enter text.</w:t>
          </w:r>
        </w:sdtContent>
      </w:sdt>
    </w:p>
    <w:p w14:paraId="73BA9208" w14:textId="066C05A9" w:rsidR="00AF28F8" w:rsidRPr="000210B6" w:rsidRDefault="00AF28F8" w:rsidP="00C82A76">
      <w:pPr>
        <w:spacing w:after="0"/>
      </w:pPr>
    </w:p>
    <w:tbl>
      <w:tblPr>
        <w:tblStyle w:val="TableGrid"/>
        <w:tblW w:w="0" w:type="auto"/>
        <w:tblLook w:val="04A0" w:firstRow="1" w:lastRow="0" w:firstColumn="1" w:lastColumn="0" w:noHBand="0" w:noVBand="1"/>
      </w:tblPr>
      <w:tblGrid>
        <w:gridCol w:w="495"/>
        <w:gridCol w:w="8855"/>
      </w:tblGrid>
      <w:tr w:rsidR="00363E0D" w14:paraId="4C2EF0FA" w14:textId="77777777" w:rsidTr="00DD5FB8">
        <w:trPr>
          <w:trHeight w:val="602"/>
        </w:trPr>
        <w:tc>
          <w:tcPr>
            <w:tcW w:w="495" w:type="dxa"/>
            <w:shd w:val="clear" w:color="auto" w:fill="ECF2FA"/>
          </w:tcPr>
          <w:p w14:paraId="1EABF567" w14:textId="166E68BF" w:rsidR="00363E0D" w:rsidRDefault="00363E0D" w:rsidP="00C327BB">
            <w:r>
              <w:t>1.3</w:t>
            </w:r>
          </w:p>
        </w:tc>
        <w:tc>
          <w:tcPr>
            <w:tcW w:w="8855" w:type="dxa"/>
            <w:shd w:val="clear" w:color="auto" w:fill="ECF2FA"/>
          </w:tcPr>
          <w:p w14:paraId="5A500DD1" w14:textId="5E9FBC78" w:rsidR="00363E0D" w:rsidRDefault="00363E0D" w:rsidP="004A286C">
            <w:r w:rsidRPr="00C327BB">
              <w:t xml:space="preserve">The </w:t>
            </w:r>
            <w:r>
              <w:t>provider</w:t>
            </w:r>
            <w:r w:rsidRPr="00C327BB">
              <w:t xml:space="preserve"> must demonstrate a stable and enduring presence </w:t>
            </w:r>
            <w:r>
              <w:t>committed</w:t>
            </w:r>
            <w:r w:rsidRPr="00C327BB">
              <w:t xml:space="preserve"> to providing educational services.</w:t>
            </w:r>
          </w:p>
        </w:tc>
      </w:tr>
      <w:tr w:rsidR="00363E0D" w14:paraId="6ACF8407" w14:textId="77777777" w:rsidTr="00DD5FB8">
        <w:trPr>
          <w:trHeight w:val="620"/>
        </w:trPr>
        <w:tc>
          <w:tcPr>
            <w:tcW w:w="495" w:type="dxa"/>
            <w:shd w:val="clear" w:color="auto" w:fill="ECF2FA"/>
          </w:tcPr>
          <w:p w14:paraId="6E17C426" w14:textId="376FEB9D" w:rsidR="00363E0D" w:rsidRDefault="00363E0D" w:rsidP="00C327BB">
            <w:r>
              <w:t>1.4</w:t>
            </w:r>
          </w:p>
        </w:tc>
        <w:tc>
          <w:tcPr>
            <w:tcW w:w="8855" w:type="dxa"/>
            <w:shd w:val="clear" w:color="auto" w:fill="ECF2FA"/>
          </w:tcPr>
          <w:p w14:paraId="20CCC5DD" w14:textId="4599DECE" w:rsidR="00363E0D" w:rsidRDefault="00363E0D" w:rsidP="00C327BB">
            <w:r w:rsidRPr="00C327BB">
              <w:t xml:space="preserve">The </w:t>
            </w:r>
            <w:r>
              <w:t>provider</w:t>
            </w:r>
            <w:r w:rsidRPr="00C327BB">
              <w:t xml:space="preserve"> must ensure that adequate resources are available for delivering high-quality educational programs, regardless of the size of the dedicated educational team</w:t>
            </w:r>
            <w:r>
              <w:t>.</w:t>
            </w:r>
          </w:p>
        </w:tc>
      </w:tr>
      <w:tr w:rsidR="00363E0D" w14:paraId="47604266" w14:textId="77777777" w:rsidTr="00DD5FB8">
        <w:trPr>
          <w:trHeight w:val="620"/>
        </w:trPr>
        <w:tc>
          <w:tcPr>
            <w:tcW w:w="495" w:type="dxa"/>
            <w:shd w:val="clear" w:color="auto" w:fill="ECF2FA"/>
          </w:tcPr>
          <w:p w14:paraId="347C5B2E" w14:textId="136C6FA0" w:rsidR="00363E0D" w:rsidRDefault="00363E0D" w:rsidP="00C327BB">
            <w:r>
              <w:t>1.5</w:t>
            </w:r>
          </w:p>
        </w:tc>
        <w:tc>
          <w:tcPr>
            <w:tcW w:w="8855" w:type="dxa"/>
            <w:shd w:val="clear" w:color="auto" w:fill="ECF2FA"/>
          </w:tcPr>
          <w:p w14:paraId="21C2C084" w14:textId="3E6A69DF" w:rsidR="00363E0D" w:rsidRDefault="00363E0D" w:rsidP="00C327BB">
            <w:r w:rsidRPr="00C327BB">
              <w:t xml:space="preserve">The </w:t>
            </w:r>
            <w:r>
              <w:t>provider</w:t>
            </w:r>
            <w:r w:rsidRPr="00C327BB">
              <w:t xml:space="preserve"> and its staff must uphold high standards of professionalism and ethics in all educational endeavors.</w:t>
            </w:r>
          </w:p>
        </w:tc>
      </w:tr>
    </w:tbl>
    <w:p w14:paraId="0C4C465C" w14:textId="0042690D" w:rsidR="00F4751A" w:rsidRPr="00E71EE9" w:rsidRDefault="00E71EE9" w:rsidP="00CD62BD">
      <w:pPr>
        <w:rPr>
          <w:i/>
          <w:iCs/>
        </w:rPr>
      </w:pPr>
      <w:r>
        <w:rPr>
          <w:i/>
          <w:iCs/>
        </w:rPr>
        <w:t>Describe</w:t>
      </w:r>
      <w:r w:rsidRPr="00E71EE9">
        <w:rPr>
          <w:i/>
          <w:iCs/>
        </w:rPr>
        <w:t xml:space="preserve"> your organization</w:t>
      </w:r>
      <w:r w:rsidR="008D5B64">
        <w:rPr>
          <w:i/>
          <w:iCs/>
        </w:rPr>
        <w:t>’</w:t>
      </w:r>
      <w:r w:rsidRPr="00E71EE9">
        <w:rPr>
          <w:i/>
          <w:iCs/>
        </w:rPr>
        <w:t>s history and commitment to providing educational services</w:t>
      </w:r>
      <w:r w:rsidR="00F4751A">
        <w:rPr>
          <w:i/>
          <w:iCs/>
        </w:rPr>
        <w:t>.</w:t>
      </w:r>
      <w:r w:rsidR="002604E1">
        <w:rPr>
          <w:i/>
          <w:iCs/>
        </w:rPr>
        <w:br/>
      </w:r>
      <w:sdt>
        <w:sdtPr>
          <w:rPr>
            <w:i/>
            <w:iCs/>
          </w:rPr>
          <w:id w:val="1555810434"/>
          <w:placeholder>
            <w:docPart w:val="DefaultPlaceholder_-1854013440"/>
          </w:placeholder>
          <w:showingPlcHdr/>
          <w:text/>
        </w:sdtPr>
        <w:sdtEndPr/>
        <w:sdtContent>
          <w:r w:rsidR="00F4751A" w:rsidRPr="00D45EA7">
            <w:rPr>
              <w:rStyle w:val="PlaceholderText"/>
            </w:rPr>
            <w:t>Click or tap here to enter text.</w:t>
          </w:r>
        </w:sdtContent>
      </w:sdt>
    </w:p>
    <w:p w14:paraId="154C7EC3" w14:textId="4CEAB026" w:rsidR="00CD62BD" w:rsidRDefault="002E13C2" w:rsidP="00CD62BD">
      <w:pPr>
        <w:spacing w:after="0"/>
        <w:rPr>
          <w:i/>
          <w:iCs/>
        </w:rPr>
      </w:pPr>
      <w:r w:rsidRPr="002E13C2">
        <w:rPr>
          <w:i/>
          <w:iCs/>
        </w:rPr>
        <w:t xml:space="preserve">How does your organization uphold high standards of professionalism and ethics in all educational endeavors? </w:t>
      </w:r>
      <w:r>
        <w:rPr>
          <w:i/>
          <w:iCs/>
        </w:rPr>
        <w:t>You may</w:t>
      </w:r>
      <w:r w:rsidRPr="002E13C2">
        <w:rPr>
          <w:i/>
          <w:iCs/>
        </w:rPr>
        <w:t xml:space="preserve"> include examples such as your code of conduct, training programs on ethical practices, and grievance and dispute resolution policies.</w:t>
      </w:r>
    </w:p>
    <w:sdt>
      <w:sdtPr>
        <w:rPr>
          <w:i/>
          <w:iCs/>
        </w:rPr>
        <w:id w:val="804892901"/>
        <w:placeholder>
          <w:docPart w:val="DefaultPlaceholder_-1854013440"/>
        </w:placeholder>
        <w:showingPlcHdr/>
      </w:sdtPr>
      <w:sdtEndPr/>
      <w:sdtContent>
        <w:p w14:paraId="4C03E375" w14:textId="5246CBF8" w:rsidR="00BE2C19" w:rsidRDefault="00455374" w:rsidP="00CD62BD">
          <w:pPr>
            <w:spacing w:after="0"/>
            <w:rPr>
              <w:i/>
              <w:iCs/>
            </w:rPr>
          </w:pPr>
          <w:r w:rsidRPr="00D45EA7">
            <w:rPr>
              <w:rStyle w:val="PlaceholderText"/>
            </w:rPr>
            <w:t>Click or tap here to enter text.</w:t>
          </w:r>
        </w:p>
      </w:sdtContent>
    </w:sdt>
    <w:p w14:paraId="61081721" w14:textId="77777777" w:rsidR="002E13C2" w:rsidRPr="004540DB" w:rsidRDefault="002E13C2" w:rsidP="00CD62BD">
      <w:pPr>
        <w:spacing w:after="0"/>
        <w:rPr>
          <w:i/>
          <w:iCs/>
        </w:rPr>
      </w:pPr>
    </w:p>
    <w:tbl>
      <w:tblPr>
        <w:tblStyle w:val="TableGrid"/>
        <w:tblW w:w="0" w:type="auto"/>
        <w:tblLook w:val="04A0" w:firstRow="1" w:lastRow="0" w:firstColumn="1" w:lastColumn="0" w:noHBand="0" w:noVBand="1"/>
      </w:tblPr>
      <w:tblGrid>
        <w:gridCol w:w="535"/>
        <w:gridCol w:w="8815"/>
      </w:tblGrid>
      <w:tr w:rsidR="006C2AEF" w14:paraId="4429011F" w14:textId="77777777" w:rsidTr="007A2183">
        <w:trPr>
          <w:trHeight w:val="638"/>
        </w:trPr>
        <w:tc>
          <w:tcPr>
            <w:tcW w:w="535" w:type="dxa"/>
            <w:shd w:val="clear" w:color="auto" w:fill="ECF2FA"/>
          </w:tcPr>
          <w:p w14:paraId="3F10CD48" w14:textId="4796C6B2" w:rsidR="006C2AEF" w:rsidRDefault="006C2AEF" w:rsidP="004A286C">
            <w:r>
              <w:t>1.6</w:t>
            </w:r>
          </w:p>
        </w:tc>
        <w:tc>
          <w:tcPr>
            <w:tcW w:w="8815" w:type="dxa"/>
            <w:shd w:val="clear" w:color="auto" w:fill="ECF2FA"/>
          </w:tcPr>
          <w:p w14:paraId="447E8109" w14:textId="076152B7" w:rsidR="006C2AEF" w:rsidRDefault="006C2AEF" w:rsidP="004A286C">
            <w:r w:rsidRPr="00C327BB">
              <w:t xml:space="preserve">The </w:t>
            </w:r>
            <w:r>
              <w:t>provider</w:t>
            </w:r>
            <w:r w:rsidRPr="00C327BB">
              <w:t xml:space="preserve"> must have transparent policies regarding fee refunds and complaint resolution, which should be readily accessible to learners.</w:t>
            </w:r>
          </w:p>
        </w:tc>
      </w:tr>
      <w:tr w:rsidR="006C2AEF" w14:paraId="7D13FB42" w14:textId="77777777" w:rsidTr="007A2183">
        <w:trPr>
          <w:trHeight w:val="620"/>
        </w:trPr>
        <w:tc>
          <w:tcPr>
            <w:tcW w:w="535" w:type="dxa"/>
            <w:shd w:val="clear" w:color="auto" w:fill="ECF2FA"/>
          </w:tcPr>
          <w:p w14:paraId="48314A97" w14:textId="08EC59D4" w:rsidR="006C2AEF" w:rsidRDefault="006C2AEF" w:rsidP="004A286C">
            <w:r>
              <w:t>1.7</w:t>
            </w:r>
          </w:p>
        </w:tc>
        <w:tc>
          <w:tcPr>
            <w:tcW w:w="8815" w:type="dxa"/>
            <w:shd w:val="clear" w:color="auto" w:fill="ECF2FA"/>
          </w:tcPr>
          <w:p w14:paraId="77150955" w14:textId="2E5EFF13" w:rsidR="006C2AEF" w:rsidRDefault="006C2AEF" w:rsidP="004A286C">
            <w:r w:rsidRPr="00096F4B">
              <w:t xml:space="preserve">The </w:t>
            </w:r>
            <w:r>
              <w:t>provider</w:t>
            </w:r>
            <w:r w:rsidRPr="00096F4B">
              <w:t xml:space="preserve"> must have established policies to appropriately manage and respect intellectual property rights in educational content and delivery.</w:t>
            </w:r>
          </w:p>
        </w:tc>
      </w:tr>
    </w:tbl>
    <w:p w14:paraId="06AEE004" w14:textId="73FDA9E3" w:rsidR="005259D8" w:rsidRDefault="002604E1" w:rsidP="00CD62BD">
      <w:pPr>
        <w:spacing w:after="0"/>
        <w:rPr>
          <w:i/>
          <w:iCs/>
        </w:rPr>
      </w:pPr>
      <w:r>
        <w:rPr>
          <w:i/>
          <w:iCs/>
        </w:rPr>
        <w:t>Describe your organization’s</w:t>
      </w:r>
      <w:r w:rsidR="005259D8" w:rsidRPr="005259D8">
        <w:rPr>
          <w:i/>
          <w:iCs/>
        </w:rPr>
        <w:t xml:space="preserve"> policies regarding fee refunds, complaint resolution, and intellectual property rights management</w:t>
      </w:r>
      <w:r w:rsidR="000D44AF">
        <w:rPr>
          <w:i/>
          <w:iCs/>
        </w:rPr>
        <w:t xml:space="preserve">. </w:t>
      </w:r>
      <w:r w:rsidR="005259D8" w:rsidRPr="005259D8">
        <w:rPr>
          <w:i/>
          <w:iCs/>
        </w:rPr>
        <w:t xml:space="preserve"> How are these policies communicated to learners?</w:t>
      </w:r>
    </w:p>
    <w:sdt>
      <w:sdtPr>
        <w:id w:val="314312279"/>
        <w:placeholder>
          <w:docPart w:val="DefaultPlaceholder_-1854013440"/>
        </w:placeholder>
        <w:showingPlcHdr/>
      </w:sdtPr>
      <w:sdtEndPr/>
      <w:sdtContent>
        <w:p w14:paraId="608307C0" w14:textId="4770B300" w:rsidR="002604E1" w:rsidRPr="002604E1" w:rsidRDefault="002604E1" w:rsidP="00CD62BD">
          <w:pPr>
            <w:spacing w:after="0"/>
          </w:pPr>
          <w:r w:rsidRPr="00D45EA7">
            <w:rPr>
              <w:rStyle w:val="PlaceholderText"/>
            </w:rPr>
            <w:t>Click or tap here to enter text.</w:t>
          </w:r>
        </w:p>
      </w:sdtContent>
    </w:sdt>
    <w:p w14:paraId="52D24FF0" w14:textId="77777777" w:rsidR="00CD62BD" w:rsidRDefault="00CD62BD" w:rsidP="00CD62BD">
      <w:pPr>
        <w:spacing w:after="0"/>
        <w:rPr>
          <w:i/>
          <w:iCs/>
        </w:rPr>
      </w:pPr>
    </w:p>
    <w:tbl>
      <w:tblPr>
        <w:tblStyle w:val="TableGrid"/>
        <w:tblW w:w="0" w:type="auto"/>
        <w:tblLook w:val="04A0" w:firstRow="1" w:lastRow="0" w:firstColumn="1" w:lastColumn="0" w:noHBand="0" w:noVBand="1"/>
      </w:tblPr>
      <w:tblGrid>
        <w:gridCol w:w="535"/>
        <w:gridCol w:w="8815"/>
      </w:tblGrid>
      <w:tr w:rsidR="007A2183" w14:paraId="62758923" w14:textId="77777777" w:rsidTr="004A4B30">
        <w:trPr>
          <w:trHeight w:val="620"/>
        </w:trPr>
        <w:tc>
          <w:tcPr>
            <w:tcW w:w="535" w:type="dxa"/>
            <w:shd w:val="clear" w:color="auto" w:fill="ECF2FA"/>
          </w:tcPr>
          <w:p w14:paraId="059C5F95" w14:textId="77777777" w:rsidR="007A2183" w:rsidRDefault="007A2183" w:rsidP="004A4B30">
            <w:r>
              <w:t>1.8</w:t>
            </w:r>
          </w:p>
        </w:tc>
        <w:tc>
          <w:tcPr>
            <w:tcW w:w="8815" w:type="dxa"/>
            <w:shd w:val="clear" w:color="auto" w:fill="ECF2FA"/>
          </w:tcPr>
          <w:p w14:paraId="5B0B7ADE" w14:textId="77777777" w:rsidR="007A2183" w:rsidRDefault="007A2183" w:rsidP="004A4B30">
            <w:r w:rsidRPr="00096F4B">
              <w:t xml:space="preserve">In collaborative course offerings, the primary </w:t>
            </w:r>
            <w:r>
              <w:t>provider</w:t>
            </w:r>
            <w:r w:rsidRPr="00096F4B">
              <w:t xml:space="preserve"> applying for CAMICB approval must ensure adherence to CAMICB standards and actively participate in all facets of the course.</w:t>
            </w:r>
          </w:p>
        </w:tc>
      </w:tr>
    </w:tbl>
    <w:p w14:paraId="4BF71287" w14:textId="5E5EA92E" w:rsidR="00F56943" w:rsidRDefault="00515048" w:rsidP="005259D8">
      <w:pPr>
        <w:sectPr w:rsidR="00F56943" w:rsidSect="008F5240">
          <w:pgSz w:w="12240" w:h="15840"/>
          <w:pgMar w:top="1440" w:right="1440" w:bottom="1440" w:left="1440" w:header="720" w:footer="720" w:gutter="0"/>
          <w:cols w:space="720"/>
          <w:docGrid w:linePitch="360"/>
        </w:sectPr>
      </w:pPr>
      <w:r>
        <w:rPr>
          <w:i/>
          <w:iCs/>
        </w:rPr>
        <w:t>Is this course offered in collaboration with another provider? If yes</w:t>
      </w:r>
      <w:r w:rsidR="005259D8" w:rsidRPr="005259D8">
        <w:rPr>
          <w:i/>
          <w:iCs/>
        </w:rPr>
        <w:t>, how does the primary provider ensure adherence to CAMICB standards and active participation in all facets of the course?</w:t>
      </w:r>
      <w:r w:rsidR="00415AAC">
        <w:rPr>
          <w:i/>
          <w:iCs/>
        </w:rPr>
        <w:br/>
      </w:r>
      <w:sdt>
        <w:sdtPr>
          <w:id w:val="1847668716"/>
          <w:placeholder>
            <w:docPart w:val="DefaultPlaceholder_-1854013440"/>
          </w:placeholder>
          <w:showingPlcHdr/>
        </w:sdtPr>
        <w:sdtEndPr/>
        <w:sdtContent>
          <w:r w:rsidR="00F56943" w:rsidRPr="00D45EA7">
            <w:rPr>
              <w:rStyle w:val="PlaceholderText"/>
            </w:rPr>
            <w:t>Click or tap here to enter text.</w:t>
          </w:r>
        </w:sdtContent>
      </w:sdt>
      <w:r w:rsidR="00F56943">
        <w:br/>
      </w:r>
    </w:p>
    <w:p w14:paraId="110FDCFD" w14:textId="5EFD9AE3" w:rsidR="004A286C" w:rsidRDefault="00573DB3" w:rsidP="004540DB">
      <w:pPr>
        <w:pStyle w:val="Heading1"/>
      </w:pPr>
      <w:r>
        <w:lastRenderedPageBreak/>
        <w:t xml:space="preserve">Requirement </w:t>
      </w:r>
      <w:r w:rsidR="004540DB">
        <w:t>2</w:t>
      </w:r>
      <w:r>
        <w:t>:</w:t>
      </w:r>
      <w:r w:rsidR="004540DB">
        <w:t xml:space="preserve"> </w:t>
      </w:r>
      <w:r w:rsidR="004A286C">
        <w:t>Administration</w:t>
      </w:r>
    </w:p>
    <w:p w14:paraId="3E77935D" w14:textId="77777777" w:rsidR="00CA6ADA" w:rsidRDefault="00CA6ADA" w:rsidP="00CA6ADA">
      <w:r>
        <w:t>The provider must have established quality assurance procedures that ensure compliance with CAMICB’s standards. These procedures are crucial for maintaining high-quality courses and facilitating continuous improvement.</w:t>
      </w:r>
    </w:p>
    <w:p w14:paraId="475455C9" w14:textId="71B95052" w:rsidR="00A74722" w:rsidRDefault="00CA6ADA" w:rsidP="007F1EDA">
      <w:pPr>
        <w:spacing w:after="0"/>
      </w:pPr>
      <w:r>
        <w:t>The provider must appoint qualified professionals to manage and coordinate the course schedule effectively. The provider should designate a primary contact between the provider organization and CAMICB. This individual is tasked with ensuring that all CAMICB-required practices are met consistently.</w:t>
      </w:r>
    </w:p>
    <w:p w14:paraId="7D38EC0C" w14:textId="77777777" w:rsidR="007F1EDA" w:rsidRPr="00A74722" w:rsidRDefault="007F1EDA" w:rsidP="007F1EDA">
      <w:pPr>
        <w:spacing w:after="0"/>
      </w:pPr>
    </w:p>
    <w:tbl>
      <w:tblPr>
        <w:tblStyle w:val="TableGrid"/>
        <w:tblW w:w="0" w:type="auto"/>
        <w:tblLook w:val="04A0" w:firstRow="1" w:lastRow="0" w:firstColumn="1" w:lastColumn="0" w:noHBand="0" w:noVBand="1"/>
      </w:tblPr>
      <w:tblGrid>
        <w:gridCol w:w="495"/>
        <w:gridCol w:w="8855"/>
      </w:tblGrid>
      <w:tr w:rsidR="00DD5FB8" w14:paraId="74D92C9D" w14:textId="77777777" w:rsidTr="00FA0B5C">
        <w:trPr>
          <w:trHeight w:val="890"/>
        </w:trPr>
        <w:tc>
          <w:tcPr>
            <w:tcW w:w="495" w:type="dxa"/>
            <w:shd w:val="clear" w:color="auto" w:fill="ECF2FA"/>
          </w:tcPr>
          <w:p w14:paraId="56218E87" w14:textId="7983CFF0" w:rsidR="00DD5FB8" w:rsidRDefault="00DD5FB8" w:rsidP="004A286C">
            <w:r>
              <w:t>2.1</w:t>
            </w:r>
          </w:p>
        </w:tc>
        <w:tc>
          <w:tcPr>
            <w:tcW w:w="8855" w:type="dxa"/>
            <w:shd w:val="clear" w:color="auto" w:fill="ECF2FA"/>
          </w:tcPr>
          <w:p w14:paraId="5267D813" w14:textId="7463F9B8" w:rsidR="00DD5FB8" w:rsidRDefault="00DD5FB8" w:rsidP="004A286C">
            <w:r>
              <w:t>The provider</w:t>
            </w:r>
            <w:r w:rsidRPr="0034695C">
              <w:t xml:space="preserve"> must have internal policies </w:t>
            </w:r>
            <w:r>
              <w:t>establishing</w:t>
            </w:r>
            <w:r w:rsidRPr="0034695C">
              <w:t xml:space="preserve"> a quality assurance process</w:t>
            </w:r>
            <w:r w:rsidR="00FA0B5C">
              <w:t xml:space="preserve"> for the administration of educational programs</w:t>
            </w:r>
            <w:r w:rsidRPr="0034695C">
              <w:t xml:space="preserve">. </w:t>
            </w:r>
            <w:r>
              <w:t>An individual or team with adequate knowledge of educational quality assurance should oversee this process</w:t>
            </w:r>
            <w:r w:rsidRPr="0034695C">
              <w:t>.</w:t>
            </w:r>
          </w:p>
        </w:tc>
      </w:tr>
      <w:tr w:rsidR="00DD5FB8" w14:paraId="17BD21B7" w14:textId="77777777" w:rsidTr="00DD5FB8">
        <w:trPr>
          <w:trHeight w:val="1430"/>
        </w:trPr>
        <w:tc>
          <w:tcPr>
            <w:tcW w:w="495" w:type="dxa"/>
            <w:shd w:val="clear" w:color="auto" w:fill="ECF2FA"/>
          </w:tcPr>
          <w:p w14:paraId="79E0872F" w14:textId="34B8A830" w:rsidR="00DD5FB8" w:rsidRDefault="00DD5FB8" w:rsidP="004A286C">
            <w:r>
              <w:t>2.2</w:t>
            </w:r>
          </w:p>
        </w:tc>
        <w:tc>
          <w:tcPr>
            <w:tcW w:w="8855" w:type="dxa"/>
            <w:shd w:val="clear" w:color="auto" w:fill="ECF2FA"/>
          </w:tcPr>
          <w:p w14:paraId="35AF0E1C" w14:textId="590F22D8" w:rsidR="00DD5FB8" w:rsidRDefault="00DD5FB8" w:rsidP="004A286C">
            <w:r w:rsidRPr="00271BC1">
              <w:t xml:space="preserve">The individual or team responsible for quality assurance should have relevant expertise in educational administration, community association management, or a related field. If specific expertise in community association management is lacking, the provider should involve a consultant or expert </w:t>
            </w:r>
            <w:r>
              <w:t>in community association management to participate in course planning, implementation, and evaluation</w:t>
            </w:r>
            <w:r w:rsidRPr="00271BC1">
              <w:t>.</w:t>
            </w:r>
          </w:p>
        </w:tc>
      </w:tr>
    </w:tbl>
    <w:p w14:paraId="2B097D78" w14:textId="102E9C42" w:rsidR="00C31D25" w:rsidRPr="00C31D25" w:rsidRDefault="00271BC1" w:rsidP="004A286C">
      <w:r w:rsidRPr="00271BC1">
        <w:rPr>
          <w:i/>
          <w:iCs/>
        </w:rPr>
        <w:t xml:space="preserve">Who is responsible for overseeing </w:t>
      </w:r>
      <w:r w:rsidR="000D44AF">
        <w:rPr>
          <w:i/>
          <w:iCs/>
        </w:rPr>
        <w:t xml:space="preserve">the quality assurance </w:t>
      </w:r>
      <w:r w:rsidRPr="00271BC1">
        <w:rPr>
          <w:i/>
          <w:iCs/>
        </w:rPr>
        <w:t xml:space="preserve">process? Provide details about their qualifications, particularly </w:t>
      </w:r>
      <w:r w:rsidR="007C42B8">
        <w:rPr>
          <w:i/>
          <w:iCs/>
        </w:rPr>
        <w:t>concerning</w:t>
      </w:r>
      <w:r w:rsidRPr="00271BC1">
        <w:rPr>
          <w:i/>
          <w:iCs/>
        </w:rPr>
        <w:t xml:space="preserve"> educational administration, community association management, or related fields. If your organization lacks specific expertise in community association management, explain how you involve a consultant or expert in this area in course planning, implementation, and evaluation.</w:t>
      </w:r>
      <w:r w:rsidR="00C70F94">
        <w:rPr>
          <w:i/>
          <w:iCs/>
        </w:rPr>
        <w:t xml:space="preserve"> </w:t>
      </w:r>
      <w:r w:rsidR="00C31D25">
        <w:rPr>
          <w:i/>
          <w:iCs/>
        </w:rPr>
        <w:br/>
      </w:r>
      <w:sdt>
        <w:sdtPr>
          <w:id w:val="-1741788176"/>
          <w:placeholder>
            <w:docPart w:val="DefaultPlaceholder_-1854013440"/>
          </w:placeholder>
          <w:showingPlcHdr/>
        </w:sdtPr>
        <w:sdtEndPr/>
        <w:sdtContent>
          <w:r w:rsidR="00C31D25" w:rsidRPr="00D45EA7">
            <w:rPr>
              <w:rStyle w:val="PlaceholderText"/>
            </w:rPr>
            <w:t>Click or tap here to enter text.</w:t>
          </w:r>
        </w:sdtContent>
      </w:sdt>
    </w:p>
    <w:p w14:paraId="2F1D0415" w14:textId="77777777" w:rsidR="00F56943" w:rsidRDefault="00F56943">
      <w:pPr>
        <w:sectPr w:rsidR="00F56943" w:rsidSect="008F5240">
          <w:pgSz w:w="12240" w:h="15840"/>
          <w:pgMar w:top="1440" w:right="1440" w:bottom="1440" w:left="1440" w:header="720" w:footer="720" w:gutter="0"/>
          <w:cols w:space="720"/>
          <w:docGrid w:linePitch="360"/>
        </w:sectPr>
      </w:pPr>
    </w:p>
    <w:p w14:paraId="46B11F5D" w14:textId="402E427F" w:rsidR="004A286C" w:rsidRDefault="00573DB3" w:rsidP="00C92882">
      <w:pPr>
        <w:pStyle w:val="Heading1"/>
      </w:pPr>
      <w:r>
        <w:lastRenderedPageBreak/>
        <w:t xml:space="preserve">Requirement </w:t>
      </w:r>
      <w:r w:rsidR="004540DB">
        <w:t>3</w:t>
      </w:r>
      <w:r>
        <w:t>:</w:t>
      </w:r>
      <w:r w:rsidR="004540DB">
        <w:t xml:space="preserve"> </w:t>
      </w:r>
      <w:r w:rsidR="004A286C">
        <w:t>Transparency in Course Delivery and Marketing</w:t>
      </w:r>
    </w:p>
    <w:p w14:paraId="29289E67" w14:textId="6C4E6E6B" w:rsidR="00072946" w:rsidRPr="00072946" w:rsidRDefault="00472DBB" w:rsidP="00072946">
      <w:r w:rsidRPr="0048326F">
        <w:t xml:space="preserve">The </w:t>
      </w:r>
      <w:r>
        <w:t>course’s primary focus must be</w:t>
      </w:r>
      <w:r w:rsidRPr="0048326F">
        <w:t xml:space="preserve"> professional education in community association management</w:t>
      </w:r>
      <w:r>
        <w:t xml:space="preserve">. The course must </w:t>
      </w:r>
      <w:r w:rsidRPr="0048326F">
        <w:t xml:space="preserve">not </w:t>
      </w:r>
      <w:r>
        <w:t>be</w:t>
      </w:r>
      <w:r w:rsidRPr="0048326F">
        <w:t xml:space="preserve"> a platform for promoting specific products or services. Providers </w:t>
      </w:r>
      <w:r>
        <w:t>must</w:t>
      </w:r>
      <w:r w:rsidRPr="0048326F">
        <w:t xml:space="preserve"> establish and maintain a transparent process for disclosing and managing conflicts of interest, including handling and </w:t>
      </w:r>
      <w:r>
        <w:t xml:space="preserve">disclosing </w:t>
      </w:r>
      <w:r w:rsidRPr="0048326F">
        <w:t>financial or in-kind resources. This process is vital for preserving the integrity of the course content and presentation.</w:t>
      </w:r>
    </w:p>
    <w:tbl>
      <w:tblPr>
        <w:tblStyle w:val="TableGrid"/>
        <w:tblW w:w="0" w:type="auto"/>
        <w:tblLook w:val="04A0" w:firstRow="1" w:lastRow="0" w:firstColumn="1" w:lastColumn="0" w:noHBand="0" w:noVBand="1"/>
      </w:tblPr>
      <w:tblGrid>
        <w:gridCol w:w="495"/>
        <w:gridCol w:w="8855"/>
      </w:tblGrid>
      <w:tr w:rsidR="00C4426B" w14:paraId="1E30D284" w14:textId="77777777" w:rsidTr="00C4426B">
        <w:trPr>
          <w:trHeight w:val="350"/>
        </w:trPr>
        <w:tc>
          <w:tcPr>
            <w:tcW w:w="445" w:type="dxa"/>
            <w:shd w:val="clear" w:color="auto" w:fill="ECF2FA"/>
          </w:tcPr>
          <w:p w14:paraId="2A62BC42" w14:textId="6FF81A8F" w:rsidR="00C4426B" w:rsidRDefault="00C4426B" w:rsidP="004A286C">
            <w:r>
              <w:t>3.1</w:t>
            </w:r>
          </w:p>
        </w:tc>
        <w:tc>
          <w:tcPr>
            <w:tcW w:w="8905" w:type="dxa"/>
            <w:shd w:val="clear" w:color="auto" w:fill="ECF2FA"/>
          </w:tcPr>
          <w:p w14:paraId="7B3793DF" w14:textId="727A25CD" w:rsidR="00C4426B" w:rsidRDefault="00C4426B" w:rsidP="004A286C">
            <w:r w:rsidRPr="0042470D">
              <w:t>The course must focus on professional practice and not promote specific products or services.</w:t>
            </w:r>
          </w:p>
        </w:tc>
      </w:tr>
      <w:tr w:rsidR="00C4426B" w14:paraId="2BB68328" w14:textId="77777777" w:rsidTr="00C4426B">
        <w:trPr>
          <w:trHeight w:val="620"/>
        </w:trPr>
        <w:tc>
          <w:tcPr>
            <w:tcW w:w="445" w:type="dxa"/>
            <w:shd w:val="clear" w:color="auto" w:fill="ECF2FA"/>
          </w:tcPr>
          <w:p w14:paraId="415D85AD" w14:textId="53B5D89B" w:rsidR="00C4426B" w:rsidRDefault="00C4426B" w:rsidP="004A286C">
            <w:r>
              <w:t>3.2</w:t>
            </w:r>
          </w:p>
        </w:tc>
        <w:tc>
          <w:tcPr>
            <w:tcW w:w="8905" w:type="dxa"/>
            <w:shd w:val="clear" w:color="auto" w:fill="ECF2FA"/>
          </w:tcPr>
          <w:p w14:paraId="529B5270" w14:textId="47A89B97" w:rsidR="00C4426B" w:rsidRDefault="001E422D" w:rsidP="004A286C">
            <w:r>
              <w:t>The p</w:t>
            </w:r>
            <w:r w:rsidR="00C4426B" w:rsidRPr="00303567">
              <w:t xml:space="preserve">rovider must manage promotions and advertisements to ensure they are appropriate and </w:t>
            </w:r>
            <w:r w:rsidR="00C4426B">
              <w:t xml:space="preserve">maintain </w:t>
            </w:r>
            <w:r w:rsidR="00C4426B" w:rsidRPr="00303567">
              <w:t>the educational focus.</w:t>
            </w:r>
          </w:p>
        </w:tc>
      </w:tr>
    </w:tbl>
    <w:p w14:paraId="67BED911" w14:textId="0CB429AB" w:rsidR="008159B0" w:rsidRDefault="007C42B8" w:rsidP="001E422D">
      <w:pPr>
        <w:spacing w:after="0"/>
        <w:rPr>
          <w:i/>
          <w:iCs/>
        </w:rPr>
      </w:pPr>
      <w:r w:rsidRPr="007C42B8">
        <w:rPr>
          <w:i/>
          <w:iCs/>
        </w:rPr>
        <w:t>Does the course promote specific products or services</w:t>
      </w:r>
      <w:r>
        <w:rPr>
          <w:i/>
          <w:iCs/>
        </w:rPr>
        <w:t>?</w:t>
      </w:r>
      <w:r w:rsidR="00595E07">
        <w:rPr>
          <w:i/>
          <w:iCs/>
        </w:rPr>
        <w:t xml:space="preserve"> I</w:t>
      </w:r>
      <w:r w:rsidR="00595E07" w:rsidRPr="00595E07">
        <w:rPr>
          <w:i/>
          <w:iCs/>
        </w:rPr>
        <w:t>f so, please explain how you manage and differentiate any promotional or advertising content to maintain the educational integrity of the course.</w:t>
      </w:r>
    </w:p>
    <w:sdt>
      <w:sdtPr>
        <w:id w:val="47739829"/>
        <w:placeholder>
          <w:docPart w:val="DefaultPlaceholder_-1854013440"/>
        </w:placeholder>
        <w:showingPlcHdr/>
      </w:sdtPr>
      <w:sdtEndPr/>
      <w:sdtContent>
        <w:p w14:paraId="51B01D0C" w14:textId="24A5D830" w:rsidR="00EB1887" w:rsidRPr="00EB1887" w:rsidRDefault="00EB1887" w:rsidP="001E422D">
          <w:pPr>
            <w:spacing w:after="0"/>
          </w:pPr>
          <w:r w:rsidRPr="00D45EA7">
            <w:rPr>
              <w:rStyle w:val="PlaceholderText"/>
            </w:rPr>
            <w:t>Click or tap here to enter text.</w:t>
          </w:r>
        </w:p>
      </w:sdtContent>
    </w:sdt>
    <w:p w14:paraId="1809F553" w14:textId="77777777" w:rsidR="001E422D" w:rsidRDefault="001E422D" w:rsidP="001E422D">
      <w:pPr>
        <w:spacing w:after="0"/>
        <w:rPr>
          <w:i/>
          <w:iCs/>
        </w:rPr>
      </w:pPr>
    </w:p>
    <w:tbl>
      <w:tblPr>
        <w:tblStyle w:val="TableGrid"/>
        <w:tblW w:w="0" w:type="auto"/>
        <w:tblLook w:val="04A0" w:firstRow="1" w:lastRow="0" w:firstColumn="1" w:lastColumn="0" w:noHBand="0" w:noVBand="1"/>
      </w:tblPr>
      <w:tblGrid>
        <w:gridCol w:w="495"/>
        <w:gridCol w:w="8855"/>
      </w:tblGrid>
      <w:tr w:rsidR="00C4426B" w14:paraId="2531A448" w14:textId="77777777" w:rsidTr="00191EA2">
        <w:trPr>
          <w:trHeight w:val="323"/>
        </w:trPr>
        <w:tc>
          <w:tcPr>
            <w:tcW w:w="495" w:type="dxa"/>
            <w:shd w:val="clear" w:color="auto" w:fill="ECF2FA"/>
          </w:tcPr>
          <w:p w14:paraId="15B1A686" w14:textId="335B3E6D" w:rsidR="00C4426B" w:rsidRDefault="00C4426B" w:rsidP="004A286C">
            <w:r>
              <w:t>3.3</w:t>
            </w:r>
          </w:p>
        </w:tc>
        <w:tc>
          <w:tcPr>
            <w:tcW w:w="8855" w:type="dxa"/>
            <w:shd w:val="clear" w:color="auto" w:fill="ECF2FA"/>
          </w:tcPr>
          <w:p w14:paraId="39D46BA0" w14:textId="052800AB" w:rsidR="00C4426B" w:rsidRDefault="001E422D" w:rsidP="004A286C">
            <w:r>
              <w:t>The p</w:t>
            </w:r>
            <w:r w:rsidR="00C4426B" w:rsidRPr="0042470D">
              <w:t>rovider must have a process to identify, manage, and disclose conflicts of interest.</w:t>
            </w:r>
          </w:p>
        </w:tc>
      </w:tr>
    </w:tbl>
    <w:p w14:paraId="3328CC87" w14:textId="271FB16E" w:rsidR="00EB1887" w:rsidRPr="00EB1887" w:rsidRDefault="00226991">
      <w:r w:rsidRPr="00226991">
        <w:rPr>
          <w:i/>
          <w:iCs/>
        </w:rPr>
        <w:t xml:space="preserve">What is the </w:t>
      </w:r>
      <w:r w:rsidR="00595E07">
        <w:rPr>
          <w:i/>
          <w:iCs/>
        </w:rPr>
        <w:t xml:space="preserve">process </w:t>
      </w:r>
      <w:r w:rsidR="00595E07" w:rsidRPr="00595E07">
        <w:rPr>
          <w:i/>
          <w:iCs/>
        </w:rPr>
        <w:t>for identifying, managing, and disclosing any conflicts of interest related to your course</w:t>
      </w:r>
      <w:r w:rsidR="00595E07">
        <w:rPr>
          <w:i/>
          <w:iCs/>
        </w:rPr>
        <w:t>?</w:t>
      </w:r>
      <w:r w:rsidR="00EB1887">
        <w:rPr>
          <w:i/>
          <w:iCs/>
        </w:rPr>
        <w:br/>
      </w:r>
      <w:sdt>
        <w:sdtPr>
          <w:id w:val="-1768229333"/>
          <w:placeholder>
            <w:docPart w:val="DefaultPlaceholder_-1854013440"/>
          </w:placeholder>
          <w:showingPlcHdr/>
        </w:sdtPr>
        <w:sdtEndPr/>
        <w:sdtContent>
          <w:r w:rsidR="00EB1887" w:rsidRPr="00D45EA7">
            <w:rPr>
              <w:rStyle w:val="PlaceholderText"/>
            </w:rPr>
            <w:t>Click or tap here to enter text.</w:t>
          </w:r>
        </w:sdtContent>
      </w:sdt>
    </w:p>
    <w:p w14:paraId="502D346A" w14:textId="77777777" w:rsidR="00474658" w:rsidRDefault="00474658">
      <w:pPr>
        <w:sectPr w:rsidR="00474658" w:rsidSect="008F5240">
          <w:pgSz w:w="12240" w:h="15840"/>
          <w:pgMar w:top="1440" w:right="1440" w:bottom="1440" w:left="1440" w:header="720" w:footer="720" w:gutter="0"/>
          <w:cols w:space="720"/>
          <w:docGrid w:linePitch="360"/>
        </w:sectPr>
      </w:pPr>
    </w:p>
    <w:p w14:paraId="619DE801" w14:textId="1DBE2BE4" w:rsidR="004A286C" w:rsidRDefault="00573DB3" w:rsidP="004540DB">
      <w:pPr>
        <w:pStyle w:val="Heading1"/>
      </w:pPr>
      <w:r>
        <w:lastRenderedPageBreak/>
        <w:t xml:space="preserve">Requirement </w:t>
      </w:r>
      <w:r w:rsidR="004A286C">
        <w:t>4</w:t>
      </w:r>
      <w:r>
        <w:t>:</w:t>
      </w:r>
      <w:r w:rsidR="004A286C">
        <w:t xml:space="preserve"> </w:t>
      </w:r>
      <w:r w:rsidR="002B2FB1">
        <w:t xml:space="preserve">Maintenance of Learner Records </w:t>
      </w:r>
    </w:p>
    <w:p w14:paraId="3FE2490F" w14:textId="1FABF503" w:rsidR="00472DBB" w:rsidRDefault="00F37DFE" w:rsidP="00CC22A9">
      <w:pPr>
        <w:spacing w:after="0"/>
      </w:pPr>
      <w:r w:rsidRPr="00F749D1">
        <w:t xml:space="preserve">The provider </w:t>
      </w:r>
      <w:r>
        <w:t>must</w:t>
      </w:r>
      <w:r w:rsidRPr="00F749D1">
        <w:t xml:space="preserve"> implement a comprehensive system that identifies</w:t>
      </w:r>
      <w:r w:rsidR="00650222">
        <w:t xml:space="preserve"> </w:t>
      </w:r>
      <w:r w:rsidRPr="00F749D1">
        <w:t xml:space="preserve">and reports on learners who have satisfactorily completed the course. This system should encompass </w:t>
      </w:r>
      <w:r>
        <w:t>the tracking and monitoring of attendance</w:t>
      </w:r>
      <w:r w:rsidRPr="00F749D1">
        <w:t xml:space="preserve">. </w:t>
      </w:r>
      <w:r w:rsidR="00CC22A9">
        <w:t>Learner</w:t>
      </w:r>
      <w:r>
        <w:t xml:space="preserve"> records must be</w:t>
      </w:r>
      <w:r w:rsidRPr="00F749D1">
        <w:t xml:space="preserve"> preserved for a minimum of seven years, with adequate provisions for backup to ensure accessibility in case of any damage or inaccuracies in the original documentation. The integrity and privacy of these records are of paramount importance.</w:t>
      </w:r>
    </w:p>
    <w:p w14:paraId="7E812E63" w14:textId="77777777" w:rsidR="00CC22A9" w:rsidRPr="00472DBB" w:rsidRDefault="00CC22A9" w:rsidP="00CC22A9">
      <w:pPr>
        <w:spacing w:after="0"/>
      </w:pPr>
    </w:p>
    <w:tbl>
      <w:tblPr>
        <w:tblStyle w:val="TableGrid"/>
        <w:tblW w:w="0" w:type="auto"/>
        <w:tblLook w:val="04A0" w:firstRow="1" w:lastRow="0" w:firstColumn="1" w:lastColumn="0" w:noHBand="0" w:noVBand="1"/>
      </w:tblPr>
      <w:tblGrid>
        <w:gridCol w:w="495"/>
        <w:gridCol w:w="8855"/>
      </w:tblGrid>
      <w:tr w:rsidR="00CC22A9" w14:paraId="5786AF3F" w14:textId="77777777" w:rsidTr="004C2046">
        <w:trPr>
          <w:trHeight w:val="863"/>
        </w:trPr>
        <w:tc>
          <w:tcPr>
            <w:tcW w:w="355" w:type="dxa"/>
            <w:shd w:val="clear" w:color="auto" w:fill="ECF2FA"/>
          </w:tcPr>
          <w:p w14:paraId="611C005B" w14:textId="2287D48C" w:rsidR="00CC22A9" w:rsidRDefault="00CC22A9" w:rsidP="000076B9">
            <w:r>
              <w:t>4.1</w:t>
            </w:r>
          </w:p>
        </w:tc>
        <w:tc>
          <w:tcPr>
            <w:tcW w:w="8995" w:type="dxa"/>
            <w:shd w:val="clear" w:color="auto" w:fill="ECF2FA"/>
          </w:tcPr>
          <w:p w14:paraId="505B3ED7" w14:textId="67C7A3FA" w:rsidR="00CC22A9" w:rsidRDefault="00CC22A9" w:rsidP="000076B9">
            <w:r w:rsidRPr="0000335A">
              <w:t xml:space="preserve">The provider must have a systematic process for verifying attendance, identifying individuals who complete a course, and tracking these records. This includes maintaining learner records for at least seven years </w:t>
            </w:r>
            <w:r w:rsidR="004C2046">
              <w:t>following</w:t>
            </w:r>
            <w:r w:rsidRPr="0000335A">
              <w:t xml:space="preserve"> course completion.</w:t>
            </w:r>
          </w:p>
        </w:tc>
      </w:tr>
    </w:tbl>
    <w:p w14:paraId="058259AA" w14:textId="3202613E" w:rsidR="00585525" w:rsidRDefault="00585525" w:rsidP="004C2046">
      <w:pPr>
        <w:spacing w:after="0"/>
        <w:rPr>
          <w:i/>
          <w:iCs/>
        </w:rPr>
      </w:pPr>
      <w:r w:rsidRPr="00585525">
        <w:rPr>
          <w:i/>
          <w:iCs/>
        </w:rPr>
        <w:t xml:space="preserve">Describe your system for verifying attendance and identifying individuals who complete a course. How do you track and monitor these records? </w:t>
      </w:r>
      <w:r w:rsidR="00876B34">
        <w:rPr>
          <w:i/>
          <w:iCs/>
        </w:rPr>
        <w:t>You may</w:t>
      </w:r>
      <w:r w:rsidRPr="00585525">
        <w:rPr>
          <w:i/>
          <w:iCs/>
        </w:rPr>
        <w:t xml:space="preserve"> </w:t>
      </w:r>
      <w:r w:rsidR="00B14A03">
        <w:rPr>
          <w:i/>
          <w:iCs/>
        </w:rPr>
        <w:t xml:space="preserve">use </w:t>
      </w:r>
      <w:r w:rsidRPr="00585525">
        <w:rPr>
          <w:i/>
          <w:iCs/>
        </w:rPr>
        <w:t>examples or excerpts from your record-keeping system.</w:t>
      </w:r>
    </w:p>
    <w:sdt>
      <w:sdtPr>
        <w:id w:val="-2106564577"/>
        <w:placeholder>
          <w:docPart w:val="DefaultPlaceholder_-1854013440"/>
        </w:placeholder>
        <w:showingPlcHdr/>
      </w:sdtPr>
      <w:sdtEndPr/>
      <w:sdtContent>
        <w:p w14:paraId="5DD404AA" w14:textId="700DC34E" w:rsidR="00876B34" w:rsidRPr="00EB1887" w:rsidRDefault="00876B34" w:rsidP="004C2046">
          <w:pPr>
            <w:spacing w:after="0"/>
          </w:pPr>
          <w:r w:rsidRPr="00D45EA7">
            <w:rPr>
              <w:rStyle w:val="PlaceholderText"/>
            </w:rPr>
            <w:t>Click or tap here to enter text.</w:t>
          </w:r>
        </w:p>
      </w:sdtContent>
    </w:sdt>
    <w:p w14:paraId="08720CE4" w14:textId="77777777" w:rsidR="004C2046" w:rsidRPr="00831CA4" w:rsidRDefault="004C2046" w:rsidP="004C2046">
      <w:pPr>
        <w:spacing w:after="0"/>
        <w:rPr>
          <w:i/>
          <w:iCs/>
        </w:rPr>
      </w:pPr>
    </w:p>
    <w:tbl>
      <w:tblPr>
        <w:tblStyle w:val="TableGrid"/>
        <w:tblW w:w="0" w:type="auto"/>
        <w:tblLook w:val="04A0" w:firstRow="1" w:lastRow="0" w:firstColumn="1" w:lastColumn="0" w:noHBand="0" w:noVBand="1"/>
      </w:tblPr>
      <w:tblGrid>
        <w:gridCol w:w="495"/>
        <w:gridCol w:w="8855"/>
      </w:tblGrid>
      <w:tr w:rsidR="004C2046" w14:paraId="264687DE" w14:textId="77777777" w:rsidTr="004C2046">
        <w:trPr>
          <w:trHeight w:val="557"/>
        </w:trPr>
        <w:tc>
          <w:tcPr>
            <w:tcW w:w="445" w:type="dxa"/>
            <w:shd w:val="clear" w:color="auto" w:fill="ECF2FA"/>
          </w:tcPr>
          <w:p w14:paraId="32B32579" w14:textId="1935326A" w:rsidR="004C2046" w:rsidRPr="0000335A" w:rsidRDefault="004C2046" w:rsidP="000076B9">
            <w:r w:rsidRPr="0000335A">
              <w:t>4.2</w:t>
            </w:r>
          </w:p>
        </w:tc>
        <w:tc>
          <w:tcPr>
            <w:tcW w:w="8905" w:type="dxa"/>
            <w:shd w:val="clear" w:color="auto" w:fill="ECF2FA"/>
          </w:tcPr>
          <w:p w14:paraId="79755B8F" w14:textId="431EC66E" w:rsidR="004C2046" w:rsidRDefault="004C2046" w:rsidP="000076B9">
            <w:r w:rsidRPr="00946088">
              <w:t xml:space="preserve">The </w:t>
            </w:r>
            <w:r>
              <w:t>p</w:t>
            </w:r>
            <w:r w:rsidRPr="00946088">
              <w:t xml:space="preserve">rovider </w:t>
            </w:r>
            <w:r w:rsidR="0048627E">
              <w:t xml:space="preserve">must </w:t>
            </w:r>
            <w:r w:rsidRPr="00946088">
              <w:t>ensure the privacy and security of learners</w:t>
            </w:r>
            <w:r>
              <w:t>’</w:t>
            </w:r>
            <w:r w:rsidRPr="00946088">
              <w:t xml:space="preserve"> records, with systems in place to protect sensitive information</w:t>
            </w:r>
            <w:r>
              <w:t>.</w:t>
            </w:r>
          </w:p>
        </w:tc>
      </w:tr>
    </w:tbl>
    <w:p w14:paraId="6AA28E81" w14:textId="76C8EE52" w:rsidR="000076B9" w:rsidRDefault="000D44AF" w:rsidP="004C2046">
      <w:pPr>
        <w:spacing w:after="0"/>
        <w:rPr>
          <w:i/>
          <w:iCs/>
        </w:rPr>
      </w:pPr>
      <w:r>
        <w:rPr>
          <w:i/>
          <w:iCs/>
        </w:rPr>
        <w:t>Describe</w:t>
      </w:r>
      <w:r w:rsidR="00585525" w:rsidRPr="00585525">
        <w:rPr>
          <w:i/>
          <w:iCs/>
        </w:rPr>
        <w:t xml:space="preserve"> the measures and technologies used to protect </w:t>
      </w:r>
      <w:r w:rsidR="0048627E">
        <w:rPr>
          <w:i/>
          <w:iCs/>
        </w:rPr>
        <w:t>learner records</w:t>
      </w:r>
      <w:r w:rsidR="00585525" w:rsidRPr="00585525">
        <w:rPr>
          <w:i/>
          <w:iCs/>
        </w:rPr>
        <w:t>.</w:t>
      </w:r>
    </w:p>
    <w:sdt>
      <w:sdtPr>
        <w:id w:val="-1177800247"/>
        <w:placeholder>
          <w:docPart w:val="DefaultPlaceholder_-1854013440"/>
        </w:placeholder>
        <w:showingPlcHdr/>
      </w:sdtPr>
      <w:sdtEndPr/>
      <w:sdtContent>
        <w:p w14:paraId="39B18A3B" w14:textId="23DA5A0C" w:rsidR="00876B34" w:rsidRPr="00876B34" w:rsidRDefault="00876B34" w:rsidP="004C2046">
          <w:pPr>
            <w:spacing w:after="0"/>
          </w:pPr>
          <w:r w:rsidRPr="00D45EA7">
            <w:rPr>
              <w:rStyle w:val="PlaceholderText"/>
            </w:rPr>
            <w:t>Click or tap here to enter text.</w:t>
          </w:r>
        </w:p>
      </w:sdtContent>
    </w:sdt>
    <w:p w14:paraId="746EC105" w14:textId="77777777" w:rsidR="004C2046" w:rsidRDefault="004C2046" w:rsidP="004C2046">
      <w:pPr>
        <w:spacing w:after="0"/>
        <w:rPr>
          <w:i/>
          <w:iCs/>
        </w:rPr>
      </w:pPr>
    </w:p>
    <w:tbl>
      <w:tblPr>
        <w:tblStyle w:val="TableGrid"/>
        <w:tblW w:w="0" w:type="auto"/>
        <w:tblLook w:val="04A0" w:firstRow="1" w:lastRow="0" w:firstColumn="1" w:lastColumn="0" w:noHBand="0" w:noVBand="1"/>
      </w:tblPr>
      <w:tblGrid>
        <w:gridCol w:w="495"/>
        <w:gridCol w:w="8855"/>
      </w:tblGrid>
      <w:tr w:rsidR="004C2046" w14:paraId="369BDBE0" w14:textId="77777777" w:rsidTr="00291371">
        <w:trPr>
          <w:trHeight w:val="602"/>
        </w:trPr>
        <w:tc>
          <w:tcPr>
            <w:tcW w:w="445" w:type="dxa"/>
            <w:shd w:val="clear" w:color="auto" w:fill="ECF2FA"/>
          </w:tcPr>
          <w:p w14:paraId="63ABB72E" w14:textId="768F7D2E" w:rsidR="004C2046" w:rsidRPr="0000335A" w:rsidRDefault="004C2046" w:rsidP="000076B9">
            <w:r w:rsidRPr="0000335A">
              <w:t>4.3</w:t>
            </w:r>
          </w:p>
        </w:tc>
        <w:tc>
          <w:tcPr>
            <w:tcW w:w="8905" w:type="dxa"/>
            <w:shd w:val="clear" w:color="auto" w:fill="ECF2FA"/>
          </w:tcPr>
          <w:p w14:paraId="787188D9" w14:textId="42BA3893" w:rsidR="004C2046" w:rsidRDefault="004C2046" w:rsidP="000076B9">
            <w:r w:rsidRPr="0000335A">
              <w:t>The provider must implement a system that allows CAMICB to verify learners</w:t>
            </w:r>
            <w:r>
              <w:t>’</w:t>
            </w:r>
            <w:r w:rsidRPr="0000335A">
              <w:t xml:space="preserve"> course completion efficiently.</w:t>
            </w:r>
          </w:p>
        </w:tc>
      </w:tr>
    </w:tbl>
    <w:p w14:paraId="301CA3D2" w14:textId="76BEE3DE" w:rsidR="000076B9" w:rsidRPr="00876B34" w:rsidRDefault="00585525" w:rsidP="000D44AF">
      <w:r w:rsidRPr="00585525">
        <w:rPr>
          <w:i/>
          <w:iCs/>
        </w:rPr>
        <w:t xml:space="preserve">Explain the system your organization has in place that allows CAMICB </w:t>
      </w:r>
      <w:r w:rsidR="000D7A96">
        <w:rPr>
          <w:i/>
          <w:iCs/>
        </w:rPr>
        <w:t>to verify learners</w:t>
      </w:r>
      <w:r w:rsidR="008D5B64">
        <w:rPr>
          <w:i/>
          <w:iCs/>
        </w:rPr>
        <w:t>’</w:t>
      </w:r>
      <w:r w:rsidR="000D7A96">
        <w:rPr>
          <w:i/>
          <w:iCs/>
        </w:rPr>
        <w:t xml:space="preserve"> course completion efficiently</w:t>
      </w:r>
      <w:r w:rsidRPr="00585525">
        <w:rPr>
          <w:i/>
          <w:iCs/>
        </w:rPr>
        <w:t xml:space="preserve">. </w:t>
      </w:r>
      <w:r w:rsidR="00876B34">
        <w:rPr>
          <w:i/>
          <w:iCs/>
        </w:rPr>
        <w:br/>
      </w:r>
      <w:sdt>
        <w:sdtPr>
          <w:id w:val="925387789"/>
          <w:placeholder>
            <w:docPart w:val="DefaultPlaceholder_-1854013440"/>
          </w:placeholder>
          <w:showingPlcHdr/>
        </w:sdtPr>
        <w:sdtEndPr/>
        <w:sdtContent>
          <w:r w:rsidR="00876B34" w:rsidRPr="00D45EA7">
            <w:rPr>
              <w:rStyle w:val="PlaceholderText"/>
            </w:rPr>
            <w:t>Click or tap here to enter text.</w:t>
          </w:r>
        </w:sdtContent>
      </w:sdt>
    </w:p>
    <w:p w14:paraId="640C98FC" w14:textId="54F107C9" w:rsidR="006E3AC7" w:rsidRDefault="006E3AC7" w:rsidP="006E3AC7"/>
    <w:p w14:paraId="37D53727" w14:textId="77777777" w:rsidR="00843BD5" w:rsidRDefault="00843BD5" w:rsidP="006E3AC7"/>
    <w:p w14:paraId="7DD0ABD8" w14:textId="77777777" w:rsidR="00843BD5" w:rsidRDefault="00843BD5" w:rsidP="006E3AC7"/>
    <w:p w14:paraId="22F16E07" w14:textId="77777777" w:rsidR="00843BD5" w:rsidRDefault="00843BD5" w:rsidP="006E3AC7"/>
    <w:p w14:paraId="16C8F674" w14:textId="77777777" w:rsidR="003C21EB" w:rsidRDefault="003C21EB" w:rsidP="006E3AC7"/>
    <w:tbl>
      <w:tblPr>
        <w:tblStyle w:val="TableGrid"/>
        <w:tblW w:w="0" w:type="auto"/>
        <w:tblLook w:val="04A0" w:firstRow="1" w:lastRow="0" w:firstColumn="1" w:lastColumn="0" w:noHBand="0" w:noVBand="1"/>
      </w:tblPr>
      <w:tblGrid>
        <w:gridCol w:w="9350"/>
      </w:tblGrid>
      <w:tr w:rsidR="00D76A9C" w14:paraId="7C82D7FF" w14:textId="77777777" w:rsidTr="003C21EB">
        <w:trPr>
          <w:trHeight w:val="998"/>
        </w:trPr>
        <w:tc>
          <w:tcPr>
            <w:tcW w:w="9350" w:type="dxa"/>
            <w:shd w:val="clear" w:color="auto" w:fill="F2F2F2" w:themeFill="background1" w:themeFillShade="F2"/>
          </w:tcPr>
          <w:p w14:paraId="092EC605" w14:textId="77777777" w:rsidR="00D76A9C" w:rsidRDefault="00D76A9C" w:rsidP="00843BD5">
            <w:pPr>
              <w:pStyle w:val="Heading3"/>
            </w:pPr>
            <w:r w:rsidRPr="00843BD5">
              <w:t>Additional Effective Practices</w:t>
            </w:r>
          </w:p>
          <w:p w14:paraId="24F8EC02" w14:textId="56F08234" w:rsidR="00843BD5" w:rsidRPr="00843BD5" w:rsidRDefault="00843BD5" w:rsidP="00843BD5">
            <w:pPr>
              <w:pStyle w:val="Heading4"/>
            </w:pPr>
            <w:r w:rsidRPr="00843BD5">
              <w:t xml:space="preserve">While not required, providers are encouraged </w:t>
            </w:r>
            <w:r w:rsidR="000210B6">
              <w:t xml:space="preserve">to </w:t>
            </w:r>
            <w:r w:rsidR="00EB1887">
              <w:t>adopt</w:t>
            </w:r>
            <w:r w:rsidRPr="00843BD5">
              <w:t xml:space="preserve"> these practices beyond CAMICB’s standards to enhance program quality.</w:t>
            </w:r>
          </w:p>
        </w:tc>
      </w:tr>
      <w:tr w:rsidR="00D76A9C" w14:paraId="5C442B36" w14:textId="77777777" w:rsidTr="00843BD5">
        <w:trPr>
          <w:trHeight w:val="620"/>
        </w:trPr>
        <w:tc>
          <w:tcPr>
            <w:tcW w:w="9350" w:type="dxa"/>
            <w:shd w:val="clear" w:color="auto" w:fill="F2F2F2" w:themeFill="background1" w:themeFillShade="F2"/>
          </w:tcPr>
          <w:p w14:paraId="42A55895" w14:textId="49CE5165" w:rsidR="00D76A9C" w:rsidRDefault="00EB1887" w:rsidP="006E3AC7">
            <w:pPr>
              <w:pStyle w:val="ListParagraph"/>
              <w:numPr>
                <w:ilvl w:val="2"/>
                <w:numId w:val="15"/>
              </w:numPr>
              <w:ind w:left="520" w:hanging="180"/>
            </w:pPr>
            <w:r>
              <w:t>Retain a</w:t>
            </w:r>
            <w:r w:rsidR="00D76A9C">
              <w:t>dditional learner details, such as a current address, telephone number, and assessment scores, a</w:t>
            </w:r>
            <w:r w:rsidR="007B10A5">
              <w:t xml:space="preserve">s </w:t>
            </w:r>
            <w:r w:rsidR="00D76A9C">
              <w:t>part of the provider’s records.</w:t>
            </w:r>
          </w:p>
        </w:tc>
      </w:tr>
    </w:tbl>
    <w:p w14:paraId="5619D173" w14:textId="77777777" w:rsidR="00474658" w:rsidRDefault="00474658" w:rsidP="003C21EB">
      <w:pPr>
        <w:pStyle w:val="Heading1"/>
        <w:sectPr w:rsidR="00474658" w:rsidSect="008F5240">
          <w:pgSz w:w="12240" w:h="15840"/>
          <w:pgMar w:top="1440" w:right="1440" w:bottom="1440" w:left="1440" w:header="720" w:footer="720" w:gutter="0"/>
          <w:cols w:space="720"/>
          <w:docGrid w:linePitch="360"/>
        </w:sectPr>
      </w:pPr>
    </w:p>
    <w:p w14:paraId="4CC65CAE" w14:textId="37850936" w:rsidR="004A286C" w:rsidRPr="003C21EB" w:rsidRDefault="00573DB3" w:rsidP="003C21EB">
      <w:pPr>
        <w:pStyle w:val="Heading1"/>
      </w:pPr>
      <w:r>
        <w:lastRenderedPageBreak/>
        <w:t xml:space="preserve">Requirement </w:t>
      </w:r>
      <w:r w:rsidR="00AB7077">
        <w:t>5</w:t>
      </w:r>
      <w:r>
        <w:t>:</w:t>
      </w:r>
      <w:r w:rsidR="004A286C">
        <w:t xml:space="preserve"> Learning Outcomes</w:t>
      </w:r>
    </w:p>
    <w:p w14:paraId="357C2BA4" w14:textId="494EC2F4" w:rsidR="00887B37" w:rsidRPr="001C6949" w:rsidRDefault="00887B37" w:rsidP="00887B37">
      <w:r w:rsidRPr="001C6949">
        <w:t xml:space="preserve">The </w:t>
      </w:r>
      <w:r>
        <w:t>p</w:t>
      </w:r>
      <w:r w:rsidRPr="001C6949">
        <w:t xml:space="preserve">rovider is required to develop clear learning outcomes that are directly informed by the needs of the community association management profession. These outcomes should define the specific </w:t>
      </w:r>
      <w:r w:rsidR="00BD4D4C">
        <w:t>knowledge, skills, or abilities</w:t>
      </w:r>
      <w:r w:rsidRPr="001C6949">
        <w:t xml:space="preserve"> learners are expected to acquire through the course.</w:t>
      </w:r>
    </w:p>
    <w:p w14:paraId="2BA35EE4" w14:textId="28FFB0D4" w:rsidR="00887B37" w:rsidRDefault="00887B37" w:rsidP="003B4EE9">
      <w:pPr>
        <w:spacing w:after="0"/>
      </w:pPr>
      <w:r>
        <w:t>These learning outcomes must be</w:t>
      </w:r>
      <w:r w:rsidRPr="001C6949">
        <w:t xml:space="preserve"> communicated effectively to learners. The aim is to ensure that learners are fully aware of what they should expect to learn and how it will contribute to their professional development in community association management</w:t>
      </w:r>
      <w:r>
        <w:t>.</w:t>
      </w:r>
    </w:p>
    <w:p w14:paraId="55078580" w14:textId="77777777" w:rsidR="003B4EE9" w:rsidRPr="00887B37" w:rsidRDefault="003B4EE9" w:rsidP="003B4EE9">
      <w:pPr>
        <w:spacing w:after="0"/>
      </w:pPr>
    </w:p>
    <w:tbl>
      <w:tblPr>
        <w:tblStyle w:val="TableGrid"/>
        <w:tblW w:w="0" w:type="auto"/>
        <w:tblLook w:val="04A0" w:firstRow="1" w:lastRow="0" w:firstColumn="1" w:lastColumn="0" w:noHBand="0" w:noVBand="1"/>
      </w:tblPr>
      <w:tblGrid>
        <w:gridCol w:w="495"/>
        <w:gridCol w:w="8855"/>
      </w:tblGrid>
      <w:tr w:rsidR="003B4EE9" w14:paraId="57F8CBF6" w14:textId="77777777" w:rsidTr="00D83166">
        <w:trPr>
          <w:trHeight w:val="584"/>
        </w:trPr>
        <w:tc>
          <w:tcPr>
            <w:tcW w:w="445" w:type="dxa"/>
            <w:shd w:val="clear" w:color="auto" w:fill="ECF2FA"/>
          </w:tcPr>
          <w:p w14:paraId="54C10C24" w14:textId="19DC8B3C" w:rsidR="003B4EE9" w:rsidRDefault="003B4EE9" w:rsidP="00BE23DB">
            <w:r>
              <w:t>5.1</w:t>
            </w:r>
          </w:p>
        </w:tc>
        <w:tc>
          <w:tcPr>
            <w:tcW w:w="8905" w:type="dxa"/>
            <w:shd w:val="clear" w:color="auto" w:fill="ECF2FA"/>
          </w:tcPr>
          <w:p w14:paraId="14A34E20" w14:textId="373225AF" w:rsidR="003B4EE9" w:rsidRDefault="003B4EE9" w:rsidP="00BE23DB">
            <w:r w:rsidRPr="008E58C2">
              <w:t xml:space="preserve">The </w:t>
            </w:r>
            <w:r>
              <w:t>p</w:t>
            </w:r>
            <w:r w:rsidRPr="008E58C2">
              <w:t>rovider must establish learning outcomes that are clear, concise, measurable, focused on the learner</w:t>
            </w:r>
            <w:r>
              <w:t>’</w:t>
            </w:r>
            <w:r w:rsidRPr="008E58C2">
              <w:t>s performance, and based on identified needs.</w:t>
            </w:r>
          </w:p>
        </w:tc>
      </w:tr>
    </w:tbl>
    <w:p w14:paraId="6FF9F3CD" w14:textId="158B893E" w:rsidR="00C10851" w:rsidRDefault="006341C0" w:rsidP="003B4EE9">
      <w:pPr>
        <w:spacing w:after="0"/>
        <w:rPr>
          <w:i/>
          <w:iCs/>
        </w:rPr>
      </w:pPr>
      <w:r>
        <w:rPr>
          <w:i/>
          <w:iCs/>
        </w:rPr>
        <w:t>Describe</w:t>
      </w:r>
      <w:r w:rsidR="00AE4C61" w:rsidRPr="00AE4C61">
        <w:rPr>
          <w:i/>
          <w:iCs/>
        </w:rPr>
        <w:t xml:space="preserve"> the process to establish </w:t>
      </w:r>
      <w:r w:rsidR="000D7A96" w:rsidRPr="00AE4C61">
        <w:rPr>
          <w:i/>
          <w:iCs/>
        </w:rPr>
        <w:t>clear, concise,</w:t>
      </w:r>
      <w:r w:rsidR="000D7A96">
        <w:rPr>
          <w:i/>
          <w:iCs/>
        </w:rPr>
        <w:t xml:space="preserve"> and</w:t>
      </w:r>
      <w:r w:rsidR="000D7A96" w:rsidRPr="00AE4C61">
        <w:rPr>
          <w:i/>
          <w:iCs/>
        </w:rPr>
        <w:t xml:space="preserve"> measurable</w:t>
      </w:r>
      <w:r w:rsidR="000D7A96">
        <w:rPr>
          <w:i/>
          <w:iCs/>
        </w:rPr>
        <w:t xml:space="preserve"> </w:t>
      </w:r>
      <w:r w:rsidR="00AE4C61" w:rsidRPr="00AE4C61">
        <w:rPr>
          <w:i/>
          <w:iCs/>
        </w:rPr>
        <w:t xml:space="preserve">learning outcomes for your course. </w:t>
      </w:r>
    </w:p>
    <w:sdt>
      <w:sdtPr>
        <w:id w:val="-907525856"/>
        <w:placeholder>
          <w:docPart w:val="DefaultPlaceholder_-1854013440"/>
        </w:placeholder>
        <w:showingPlcHdr/>
      </w:sdtPr>
      <w:sdtEndPr/>
      <w:sdtContent>
        <w:p w14:paraId="083DBA1C" w14:textId="5AECF795" w:rsidR="008011B9" w:rsidRPr="008011B9" w:rsidRDefault="008011B9" w:rsidP="003B4EE9">
          <w:pPr>
            <w:spacing w:after="0"/>
          </w:pPr>
          <w:r w:rsidRPr="00D45EA7">
            <w:rPr>
              <w:rStyle w:val="PlaceholderText"/>
            </w:rPr>
            <w:t>Click or tap here to enter text.</w:t>
          </w:r>
        </w:p>
      </w:sdtContent>
    </w:sdt>
    <w:p w14:paraId="55761A42" w14:textId="77777777" w:rsidR="003B4EE9" w:rsidRDefault="003B4EE9" w:rsidP="003B4EE9">
      <w:pPr>
        <w:spacing w:after="0"/>
        <w:rPr>
          <w:i/>
          <w:iCs/>
        </w:rPr>
      </w:pPr>
    </w:p>
    <w:tbl>
      <w:tblPr>
        <w:tblStyle w:val="TableGrid"/>
        <w:tblW w:w="0" w:type="auto"/>
        <w:tblLook w:val="04A0" w:firstRow="1" w:lastRow="0" w:firstColumn="1" w:lastColumn="0" w:noHBand="0" w:noVBand="1"/>
      </w:tblPr>
      <w:tblGrid>
        <w:gridCol w:w="495"/>
        <w:gridCol w:w="8855"/>
      </w:tblGrid>
      <w:tr w:rsidR="003B4EE9" w14:paraId="01D997A1" w14:textId="77777777" w:rsidTr="00D83166">
        <w:trPr>
          <w:trHeight w:val="620"/>
        </w:trPr>
        <w:tc>
          <w:tcPr>
            <w:tcW w:w="445" w:type="dxa"/>
            <w:shd w:val="clear" w:color="auto" w:fill="ECF2FA"/>
          </w:tcPr>
          <w:p w14:paraId="4DAF9C8A" w14:textId="0E53C552" w:rsidR="003B4EE9" w:rsidRDefault="003B4EE9" w:rsidP="004A286C">
            <w:r>
              <w:t>5</w:t>
            </w:r>
            <w:r w:rsidRPr="00AE4C61">
              <w:t>.2</w:t>
            </w:r>
          </w:p>
        </w:tc>
        <w:tc>
          <w:tcPr>
            <w:tcW w:w="8905" w:type="dxa"/>
            <w:shd w:val="clear" w:color="auto" w:fill="ECF2FA"/>
          </w:tcPr>
          <w:p w14:paraId="33A952C8" w14:textId="3F5C1D62" w:rsidR="003B4EE9" w:rsidRPr="00C10851" w:rsidRDefault="003B4EE9" w:rsidP="004A286C">
            <w:r>
              <w:t>The provider should e</w:t>
            </w:r>
            <w:r w:rsidRPr="00AE4C61">
              <w:t>nsure the number of learning outcomes is reasonable</w:t>
            </w:r>
            <w:r w:rsidR="009E03B7">
              <w:t xml:space="preserve"> and</w:t>
            </w:r>
            <w:r w:rsidRPr="00AE4C61">
              <w:t xml:space="preserve"> align</w:t>
            </w:r>
            <w:r w:rsidR="009E03B7">
              <w:t>s</w:t>
            </w:r>
            <w:r w:rsidRPr="00AE4C61">
              <w:t xml:space="preserve"> with the course</w:t>
            </w:r>
            <w:r>
              <w:t>’</w:t>
            </w:r>
            <w:r w:rsidRPr="00AE4C61">
              <w:t>s scope.</w:t>
            </w:r>
          </w:p>
        </w:tc>
      </w:tr>
    </w:tbl>
    <w:p w14:paraId="0D51B97C" w14:textId="742F7F7E" w:rsidR="003B4EE9" w:rsidRDefault="00AE4C61" w:rsidP="00D83166">
      <w:pPr>
        <w:spacing w:after="0"/>
      </w:pPr>
      <w:r w:rsidRPr="00AE4C61">
        <w:rPr>
          <w:i/>
          <w:iCs/>
        </w:rPr>
        <w:t>How many learning outcomes have you established for your course? Please explain how you determined the number to be reasonable.</w:t>
      </w:r>
    </w:p>
    <w:sdt>
      <w:sdtPr>
        <w:id w:val="851298479"/>
        <w:placeholder>
          <w:docPart w:val="DefaultPlaceholder_-1854013440"/>
        </w:placeholder>
        <w:showingPlcHdr/>
      </w:sdtPr>
      <w:sdtEndPr/>
      <w:sdtContent>
        <w:p w14:paraId="303C36AA" w14:textId="286D2F10" w:rsidR="00CE77E8" w:rsidRPr="00CE77E8" w:rsidRDefault="00CE77E8" w:rsidP="00D83166">
          <w:pPr>
            <w:spacing w:after="0"/>
          </w:pPr>
          <w:r w:rsidRPr="00D45EA7">
            <w:rPr>
              <w:rStyle w:val="PlaceholderText"/>
            </w:rPr>
            <w:t>Click or tap here to enter text.</w:t>
          </w:r>
        </w:p>
      </w:sdtContent>
    </w:sdt>
    <w:p w14:paraId="289B83C9" w14:textId="77777777" w:rsidR="00D83166" w:rsidRDefault="00D83166" w:rsidP="00D83166">
      <w:pPr>
        <w:spacing w:after="0"/>
        <w:rPr>
          <w:i/>
          <w:iCs/>
        </w:rPr>
      </w:pPr>
    </w:p>
    <w:tbl>
      <w:tblPr>
        <w:tblStyle w:val="TableGrid"/>
        <w:tblW w:w="0" w:type="auto"/>
        <w:tblLook w:val="04A0" w:firstRow="1" w:lastRow="0" w:firstColumn="1" w:lastColumn="0" w:noHBand="0" w:noVBand="1"/>
      </w:tblPr>
      <w:tblGrid>
        <w:gridCol w:w="495"/>
        <w:gridCol w:w="8855"/>
      </w:tblGrid>
      <w:tr w:rsidR="00D83166" w14:paraId="60DAB77D" w14:textId="77777777" w:rsidTr="00D83166">
        <w:trPr>
          <w:trHeight w:val="314"/>
        </w:trPr>
        <w:tc>
          <w:tcPr>
            <w:tcW w:w="445" w:type="dxa"/>
            <w:shd w:val="clear" w:color="auto" w:fill="ECF2FA"/>
          </w:tcPr>
          <w:p w14:paraId="012A29CC" w14:textId="6A80B578" w:rsidR="00D83166" w:rsidRDefault="00D83166" w:rsidP="00E733E3">
            <w:r>
              <w:t>5.3</w:t>
            </w:r>
          </w:p>
        </w:tc>
        <w:tc>
          <w:tcPr>
            <w:tcW w:w="8905" w:type="dxa"/>
            <w:shd w:val="clear" w:color="auto" w:fill="ECF2FA"/>
          </w:tcPr>
          <w:p w14:paraId="48CC4E0A" w14:textId="1D38B943" w:rsidR="00D83166" w:rsidRPr="00C10851" w:rsidRDefault="00D83166" w:rsidP="00D83166">
            <w:r w:rsidRPr="00990371">
              <w:t xml:space="preserve">Criteria for successful completion must be compatible with the learning outcomes. </w:t>
            </w:r>
          </w:p>
        </w:tc>
      </w:tr>
      <w:tr w:rsidR="00D83166" w14:paraId="0E4DDD92" w14:textId="77777777" w:rsidTr="00D83166">
        <w:trPr>
          <w:trHeight w:val="620"/>
        </w:trPr>
        <w:tc>
          <w:tcPr>
            <w:tcW w:w="445" w:type="dxa"/>
            <w:shd w:val="clear" w:color="auto" w:fill="ECF2FA"/>
          </w:tcPr>
          <w:p w14:paraId="6997AD37" w14:textId="50E4A09E" w:rsidR="00D83166" w:rsidRDefault="00D83166" w:rsidP="00E733E3">
            <w:r>
              <w:t>5.4</w:t>
            </w:r>
          </w:p>
        </w:tc>
        <w:tc>
          <w:tcPr>
            <w:tcW w:w="8905" w:type="dxa"/>
            <w:shd w:val="clear" w:color="auto" w:fill="ECF2FA"/>
          </w:tcPr>
          <w:p w14:paraId="7ADD13CF" w14:textId="04BDAC07" w:rsidR="00D83166" w:rsidRDefault="00D83166" w:rsidP="00E733E3">
            <w:r>
              <w:t>The outcomes should be clearly communicated to learners.</w:t>
            </w:r>
          </w:p>
        </w:tc>
      </w:tr>
    </w:tbl>
    <w:p w14:paraId="71AA807D" w14:textId="3D3B4A1F" w:rsidR="00311CB7" w:rsidRPr="00311CB7" w:rsidRDefault="000D7A96" w:rsidP="00E731C0">
      <w:r>
        <w:rPr>
          <w:i/>
          <w:iCs/>
        </w:rPr>
        <w:t>What are the</w:t>
      </w:r>
      <w:r w:rsidR="00AE4C61" w:rsidRPr="00AE4C61">
        <w:rPr>
          <w:i/>
          <w:iCs/>
        </w:rPr>
        <w:t xml:space="preserve"> criteria for successful completion</w:t>
      </w:r>
      <w:r>
        <w:rPr>
          <w:i/>
          <w:iCs/>
        </w:rPr>
        <w:t xml:space="preserve"> of the course</w:t>
      </w:r>
      <w:r w:rsidR="00AE4C61" w:rsidRPr="00AE4C61">
        <w:rPr>
          <w:i/>
          <w:iCs/>
        </w:rPr>
        <w:t>?</w:t>
      </w:r>
      <w:r w:rsidR="00E14774">
        <w:rPr>
          <w:i/>
          <w:iCs/>
        </w:rPr>
        <w:t xml:space="preserve"> </w:t>
      </w:r>
      <w:r w:rsidR="00311CB7">
        <w:rPr>
          <w:i/>
          <w:iCs/>
        </w:rPr>
        <w:br/>
      </w:r>
      <w:sdt>
        <w:sdtPr>
          <w:id w:val="138940091"/>
          <w:placeholder>
            <w:docPart w:val="DefaultPlaceholder_-1854013440"/>
          </w:placeholder>
          <w:showingPlcHdr/>
        </w:sdtPr>
        <w:sdtEndPr/>
        <w:sdtContent>
          <w:r w:rsidR="00311CB7" w:rsidRPr="00D45EA7">
            <w:rPr>
              <w:rStyle w:val="PlaceholderText"/>
            </w:rPr>
            <w:t>Click or tap here to enter text.</w:t>
          </w:r>
        </w:sdtContent>
      </w:sdt>
    </w:p>
    <w:p w14:paraId="0BFC0501" w14:textId="5E20137E" w:rsidR="00715924" w:rsidRPr="00311CB7" w:rsidRDefault="00866AD2" w:rsidP="00E731C0">
      <w:r>
        <w:rPr>
          <w:i/>
          <w:iCs/>
        </w:rPr>
        <w:t>How does your</w:t>
      </w:r>
      <w:r w:rsidR="00311CB7">
        <w:rPr>
          <w:i/>
          <w:iCs/>
        </w:rPr>
        <w:t xml:space="preserve"> organization communicate its learning outcomes to learners? </w:t>
      </w:r>
      <w:r w:rsidR="004D0446">
        <w:rPr>
          <w:i/>
          <w:iCs/>
        </w:rPr>
        <w:t xml:space="preserve">You may provide </w:t>
      </w:r>
      <w:r w:rsidR="00E731C0" w:rsidRPr="00E731C0">
        <w:rPr>
          <w:i/>
          <w:iCs/>
        </w:rPr>
        <w:t>the course description</w:t>
      </w:r>
      <w:r w:rsidR="00E731C0">
        <w:rPr>
          <w:i/>
          <w:iCs/>
        </w:rPr>
        <w:t xml:space="preserve"> and s</w:t>
      </w:r>
      <w:r w:rsidR="00E731C0" w:rsidRPr="00E731C0">
        <w:rPr>
          <w:i/>
          <w:iCs/>
        </w:rPr>
        <w:t>amples of course materials that highlight and discuss these outcomes.</w:t>
      </w:r>
      <w:r w:rsidR="00311CB7">
        <w:br/>
      </w:r>
      <w:sdt>
        <w:sdtPr>
          <w:id w:val="-1200315674"/>
          <w:placeholder>
            <w:docPart w:val="DefaultPlaceholder_-1854013440"/>
          </w:placeholder>
          <w:showingPlcHdr/>
        </w:sdtPr>
        <w:sdtEndPr/>
        <w:sdtContent>
          <w:r w:rsidR="00311CB7" w:rsidRPr="00D45EA7">
            <w:rPr>
              <w:rStyle w:val="PlaceholderText"/>
            </w:rPr>
            <w:t>Click or tap here to enter text.</w:t>
          </w:r>
        </w:sdtContent>
      </w:sdt>
    </w:p>
    <w:p w14:paraId="3BC0FA2C" w14:textId="77777777" w:rsidR="00715924" w:rsidRDefault="00715924" w:rsidP="00E731C0">
      <w:pPr>
        <w:rPr>
          <w:i/>
          <w:iCs/>
        </w:rPr>
      </w:pPr>
    </w:p>
    <w:p w14:paraId="6A1BFC7D" w14:textId="77777777" w:rsidR="003C21EB" w:rsidRDefault="003C21EB" w:rsidP="003C21EB"/>
    <w:p w14:paraId="26DFB5D1" w14:textId="77777777" w:rsidR="003C21EB" w:rsidRDefault="003C21EB" w:rsidP="003C21EB"/>
    <w:tbl>
      <w:tblPr>
        <w:tblStyle w:val="TableGrid"/>
        <w:tblW w:w="0" w:type="auto"/>
        <w:tblLook w:val="04A0" w:firstRow="1" w:lastRow="0" w:firstColumn="1" w:lastColumn="0" w:noHBand="0" w:noVBand="1"/>
      </w:tblPr>
      <w:tblGrid>
        <w:gridCol w:w="9350"/>
      </w:tblGrid>
      <w:tr w:rsidR="003C21EB" w14:paraId="09AB0FCA" w14:textId="77777777" w:rsidTr="003C21EB">
        <w:trPr>
          <w:trHeight w:val="998"/>
        </w:trPr>
        <w:tc>
          <w:tcPr>
            <w:tcW w:w="9350" w:type="dxa"/>
            <w:shd w:val="clear" w:color="auto" w:fill="F2F2F2" w:themeFill="background1" w:themeFillShade="F2"/>
          </w:tcPr>
          <w:p w14:paraId="7203D36B" w14:textId="77777777" w:rsidR="003C21EB" w:rsidRDefault="003C21EB" w:rsidP="004A4B30">
            <w:pPr>
              <w:pStyle w:val="Heading3"/>
            </w:pPr>
            <w:r w:rsidRPr="00843BD5">
              <w:t>Additional Effective Practices</w:t>
            </w:r>
          </w:p>
          <w:p w14:paraId="17D2B65F" w14:textId="6E3050F3" w:rsidR="003C21EB" w:rsidRPr="00843BD5" w:rsidRDefault="003C21EB" w:rsidP="004A4B30">
            <w:pPr>
              <w:pStyle w:val="Heading4"/>
            </w:pPr>
            <w:r w:rsidRPr="00843BD5">
              <w:t xml:space="preserve">While not required, providers are encouraged to </w:t>
            </w:r>
            <w:r w:rsidR="006D349C">
              <w:t>adopt</w:t>
            </w:r>
            <w:r w:rsidRPr="00843BD5">
              <w:t xml:space="preserve"> practices beyond CAMICB’s standards to enhance program quality.</w:t>
            </w:r>
          </w:p>
        </w:tc>
      </w:tr>
      <w:tr w:rsidR="003C21EB" w14:paraId="6DD33EE4" w14:textId="77777777" w:rsidTr="003C21EB">
        <w:trPr>
          <w:trHeight w:val="629"/>
        </w:trPr>
        <w:tc>
          <w:tcPr>
            <w:tcW w:w="9350" w:type="dxa"/>
            <w:shd w:val="clear" w:color="auto" w:fill="F2F2F2" w:themeFill="background1" w:themeFillShade="F2"/>
          </w:tcPr>
          <w:p w14:paraId="0289717B" w14:textId="341E86ED" w:rsidR="003C21EB" w:rsidRDefault="003C21EB" w:rsidP="003C21EB">
            <w:pPr>
              <w:pStyle w:val="ListParagraph"/>
              <w:numPr>
                <w:ilvl w:val="2"/>
                <w:numId w:val="15"/>
              </w:numPr>
              <w:spacing w:line="276" w:lineRule="auto"/>
              <w:ind w:left="510" w:hanging="180"/>
            </w:pPr>
            <w:r w:rsidRPr="003C21EB">
              <w:t>The provider uses learning outcomes as an outline for curriculum development, providing a structured approach to course design.</w:t>
            </w:r>
          </w:p>
        </w:tc>
      </w:tr>
    </w:tbl>
    <w:p w14:paraId="09577336" w14:textId="77777777" w:rsidR="00477F7A" w:rsidRDefault="00477F7A" w:rsidP="00E731C0">
      <w:pPr>
        <w:rPr>
          <w:i/>
          <w:iCs/>
        </w:rPr>
        <w:sectPr w:rsidR="00477F7A" w:rsidSect="008F5240">
          <w:pgSz w:w="12240" w:h="15840"/>
          <w:pgMar w:top="1440" w:right="1440" w:bottom="1440" w:left="1440" w:header="720" w:footer="720" w:gutter="0"/>
          <w:cols w:space="720"/>
          <w:docGrid w:linePitch="360"/>
        </w:sectPr>
      </w:pPr>
    </w:p>
    <w:p w14:paraId="5ECF071B" w14:textId="5C20AE69" w:rsidR="004A286C" w:rsidRDefault="00573DB3" w:rsidP="00AE4C61">
      <w:pPr>
        <w:pStyle w:val="Heading1"/>
      </w:pPr>
      <w:r>
        <w:lastRenderedPageBreak/>
        <w:t xml:space="preserve">Requirement </w:t>
      </w:r>
      <w:r w:rsidR="00AB7077">
        <w:t>6</w:t>
      </w:r>
      <w:r>
        <w:t>:</w:t>
      </w:r>
      <w:r w:rsidR="004A286C">
        <w:t xml:space="preserve"> Developers and Instructors</w:t>
      </w:r>
    </w:p>
    <w:p w14:paraId="7FF82A4F" w14:textId="77777777" w:rsidR="00A37E6B" w:rsidRDefault="00A37E6B" w:rsidP="00A37E6B">
      <w:r>
        <w:t>The provider must ensure qualified individuals are selected to determine the course’s purpose, develop intended learning outcomes, and conduct each course.</w:t>
      </w:r>
    </w:p>
    <w:p w14:paraId="3AABE342" w14:textId="5B278B93" w:rsidR="00715924" w:rsidRDefault="00A37E6B" w:rsidP="00251205">
      <w:pPr>
        <w:spacing w:after="0"/>
      </w:pPr>
      <w:r>
        <w:t xml:space="preserve">The quality of a course and its value to the learner rests on the developers’ and instructors’ competence in community association management, understanding of the learning outcomes, knowledge of instructional methodologies, and ability to facilitate learning. The developers and instructors are responsible for ensuring that the learning experience results in the intended learning outcomes. </w:t>
      </w:r>
    </w:p>
    <w:p w14:paraId="6E8F71D8" w14:textId="77777777" w:rsidR="00251205" w:rsidRPr="00715924" w:rsidRDefault="00251205" w:rsidP="00251205">
      <w:pPr>
        <w:spacing w:after="0"/>
      </w:pPr>
    </w:p>
    <w:tbl>
      <w:tblPr>
        <w:tblStyle w:val="TableGrid"/>
        <w:tblW w:w="0" w:type="auto"/>
        <w:tblLook w:val="04A0" w:firstRow="1" w:lastRow="0" w:firstColumn="1" w:lastColumn="0" w:noHBand="0" w:noVBand="1"/>
      </w:tblPr>
      <w:tblGrid>
        <w:gridCol w:w="495"/>
        <w:gridCol w:w="8855"/>
      </w:tblGrid>
      <w:tr w:rsidR="00251205" w14:paraId="453EFAB9" w14:textId="77777777" w:rsidTr="000C5ED4">
        <w:trPr>
          <w:trHeight w:val="890"/>
        </w:trPr>
        <w:tc>
          <w:tcPr>
            <w:tcW w:w="495" w:type="dxa"/>
            <w:shd w:val="clear" w:color="auto" w:fill="ECF2FA"/>
          </w:tcPr>
          <w:p w14:paraId="4BB232A2" w14:textId="318F3A36" w:rsidR="00251205" w:rsidRDefault="00251205" w:rsidP="004A286C">
            <w:r>
              <w:t>6</w:t>
            </w:r>
            <w:r w:rsidRPr="00DE3D3D">
              <w:t>.1</w:t>
            </w:r>
          </w:p>
        </w:tc>
        <w:tc>
          <w:tcPr>
            <w:tcW w:w="8855" w:type="dxa"/>
            <w:shd w:val="clear" w:color="auto" w:fill="ECF2FA"/>
          </w:tcPr>
          <w:p w14:paraId="6A0E64D4" w14:textId="6E1187AF" w:rsidR="00251205" w:rsidRDefault="00251205" w:rsidP="004A286C">
            <w:bookmarkStart w:id="0" w:name="_Hlk152250890"/>
            <w:r w:rsidRPr="00DE3D3D">
              <w:t xml:space="preserve">The provider must employ qualified course developers and instructors. Developers should have expertise in instructional methodologies and learning processes, while instructors should </w:t>
            </w:r>
            <w:r>
              <w:t>be able</w:t>
            </w:r>
            <w:r w:rsidRPr="00DE3D3D">
              <w:t xml:space="preserve"> </w:t>
            </w:r>
            <w:r>
              <w:t>to communicate with learners effectively</w:t>
            </w:r>
            <w:r w:rsidRPr="00DE3D3D">
              <w:t xml:space="preserve">. </w:t>
            </w:r>
            <w:bookmarkEnd w:id="0"/>
          </w:p>
        </w:tc>
      </w:tr>
    </w:tbl>
    <w:p w14:paraId="4A89097C" w14:textId="08657AF9" w:rsidR="00C10851" w:rsidRDefault="0022758E" w:rsidP="00251205">
      <w:pPr>
        <w:spacing w:after="0"/>
        <w:rPr>
          <w:i/>
          <w:iCs/>
        </w:rPr>
      </w:pPr>
      <w:r>
        <w:rPr>
          <w:i/>
          <w:iCs/>
        </w:rPr>
        <w:t>D</w:t>
      </w:r>
      <w:r w:rsidR="00DE3D3D" w:rsidRPr="00DE3D3D">
        <w:rPr>
          <w:i/>
          <w:iCs/>
        </w:rPr>
        <w:t xml:space="preserve">escribe the qualifications and experience of your course developers and instructors. </w:t>
      </w:r>
    </w:p>
    <w:sdt>
      <w:sdtPr>
        <w:id w:val="34470181"/>
        <w:placeholder>
          <w:docPart w:val="DefaultPlaceholder_-1854013440"/>
        </w:placeholder>
        <w:showingPlcHdr/>
      </w:sdtPr>
      <w:sdtEndPr/>
      <w:sdtContent>
        <w:p w14:paraId="2FF289AF" w14:textId="315A136D" w:rsidR="00441665" w:rsidRPr="00441665" w:rsidRDefault="00441665" w:rsidP="00251205">
          <w:pPr>
            <w:spacing w:after="0"/>
          </w:pPr>
          <w:r w:rsidRPr="00D45EA7">
            <w:rPr>
              <w:rStyle w:val="PlaceholderText"/>
            </w:rPr>
            <w:t>Click or tap here to enter text.</w:t>
          </w:r>
        </w:p>
      </w:sdtContent>
    </w:sdt>
    <w:p w14:paraId="3762CDA8" w14:textId="77777777" w:rsidR="00251205" w:rsidRDefault="00251205" w:rsidP="00251205">
      <w:pPr>
        <w:spacing w:after="0"/>
        <w:rPr>
          <w:i/>
          <w:iCs/>
        </w:rPr>
      </w:pPr>
    </w:p>
    <w:tbl>
      <w:tblPr>
        <w:tblStyle w:val="TableGrid"/>
        <w:tblW w:w="0" w:type="auto"/>
        <w:tblLook w:val="04A0" w:firstRow="1" w:lastRow="0" w:firstColumn="1" w:lastColumn="0" w:noHBand="0" w:noVBand="1"/>
      </w:tblPr>
      <w:tblGrid>
        <w:gridCol w:w="495"/>
        <w:gridCol w:w="8855"/>
      </w:tblGrid>
      <w:tr w:rsidR="00251205" w14:paraId="33975F8A" w14:textId="77777777" w:rsidTr="00995F30">
        <w:trPr>
          <w:trHeight w:val="890"/>
        </w:trPr>
        <w:tc>
          <w:tcPr>
            <w:tcW w:w="495" w:type="dxa"/>
            <w:shd w:val="clear" w:color="auto" w:fill="ECF2FA"/>
          </w:tcPr>
          <w:p w14:paraId="69D542DF" w14:textId="72BE73D6" w:rsidR="00251205" w:rsidRPr="00DE3D3D" w:rsidRDefault="00251205" w:rsidP="004A286C">
            <w:r>
              <w:t>6</w:t>
            </w:r>
            <w:r w:rsidRPr="00DE3D3D">
              <w:t>.2</w:t>
            </w:r>
          </w:p>
        </w:tc>
        <w:tc>
          <w:tcPr>
            <w:tcW w:w="8855" w:type="dxa"/>
            <w:shd w:val="clear" w:color="auto" w:fill="ECF2FA"/>
          </w:tcPr>
          <w:p w14:paraId="3418B9A9" w14:textId="6391C23B" w:rsidR="00251205" w:rsidRDefault="00251205" w:rsidP="004A286C">
            <w:r w:rsidRPr="00DE3D3D">
              <w:t>Developers and instructors must demonstrate high standards of professional conduct and adhere to non-discrimination policies, ensuring equal treatment of all participants regardless of gender, age, socioeconomic or ethnic background, sexual orientation, or disability.</w:t>
            </w:r>
          </w:p>
        </w:tc>
      </w:tr>
    </w:tbl>
    <w:p w14:paraId="78B1F238" w14:textId="54BAD9CE" w:rsidR="00251205" w:rsidRDefault="00995F30" w:rsidP="00251205">
      <w:pPr>
        <w:spacing w:after="0"/>
        <w:rPr>
          <w:i/>
          <w:iCs/>
        </w:rPr>
      </w:pPr>
      <w:r w:rsidRPr="00995F30">
        <w:rPr>
          <w:i/>
          <w:iCs/>
        </w:rPr>
        <w:t>How does your organization ensure high standards of professional conduct and adherence to non-discrimination by your developers and instructors?</w:t>
      </w:r>
      <w:r>
        <w:rPr>
          <w:i/>
          <w:iCs/>
        </w:rPr>
        <w:t xml:space="preserve"> This may include </w:t>
      </w:r>
      <w:r w:rsidR="00441665">
        <w:rPr>
          <w:i/>
          <w:iCs/>
        </w:rPr>
        <w:t>a list of policies and practices you have in place.</w:t>
      </w:r>
    </w:p>
    <w:sdt>
      <w:sdtPr>
        <w:id w:val="687026322"/>
        <w:placeholder>
          <w:docPart w:val="DefaultPlaceholder_-1854013440"/>
        </w:placeholder>
        <w:showingPlcHdr/>
      </w:sdtPr>
      <w:sdtEndPr/>
      <w:sdtContent>
        <w:p w14:paraId="5A0DB751" w14:textId="4B38100D" w:rsidR="00441665" w:rsidRDefault="00441665" w:rsidP="00251205">
          <w:pPr>
            <w:spacing w:after="0"/>
          </w:pPr>
          <w:r w:rsidRPr="00D45EA7">
            <w:rPr>
              <w:rStyle w:val="PlaceholderText"/>
            </w:rPr>
            <w:t>Click or tap here to enter text.</w:t>
          </w:r>
        </w:p>
      </w:sdtContent>
    </w:sdt>
    <w:p w14:paraId="41E0F0ED" w14:textId="77777777" w:rsidR="00441665" w:rsidRPr="00441665" w:rsidRDefault="00441665" w:rsidP="00251205">
      <w:pPr>
        <w:spacing w:after="0"/>
      </w:pPr>
    </w:p>
    <w:tbl>
      <w:tblPr>
        <w:tblStyle w:val="TableGrid"/>
        <w:tblW w:w="0" w:type="auto"/>
        <w:tblLook w:val="04A0" w:firstRow="1" w:lastRow="0" w:firstColumn="1" w:lastColumn="0" w:noHBand="0" w:noVBand="1"/>
      </w:tblPr>
      <w:tblGrid>
        <w:gridCol w:w="495"/>
        <w:gridCol w:w="8855"/>
      </w:tblGrid>
      <w:tr w:rsidR="00251205" w14:paraId="14F333F2" w14:textId="77777777" w:rsidTr="0043367D">
        <w:trPr>
          <w:trHeight w:val="584"/>
        </w:trPr>
        <w:tc>
          <w:tcPr>
            <w:tcW w:w="445" w:type="dxa"/>
            <w:shd w:val="clear" w:color="auto" w:fill="ECF2FA"/>
          </w:tcPr>
          <w:p w14:paraId="42DAADF9" w14:textId="5D9C87C1" w:rsidR="00251205" w:rsidRPr="00CB37FA" w:rsidRDefault="00251205" w:rsidP="004A286C">
            <w:r>
              <w:t>6</w:t>
            </w:r>
            <w:r w:rsidRPr="00CB37FA">
              <w:t>.3</w:t>
            </w:r>
          </w:p>
        </w:tc>
        <w:tc>
          <w:tcPr>
            <w:tcW w:w="8905" w:type="dxa"/>
            <w:shd w:val="clear" w:color="auto" w:fill="ECF2FA"/>
          </w:tcPr>
          <w:p w14:paraId="2C7EBBB1" w14:textId="784A0FC8" w:rsidR="00251205" w:rsidRDefault="00251205" w:rsidP="004A286C">
            <w:r w:rsidRPr="00CB37FA">
              <w:t>Instructors should consistently meet learning outcomes and receive regular feedback on their performance</w:t>
            </w:r>
            <w:r>
              <w:t>.</w:t>
            </w:r>
          </w:p>
        </w:tc>
      </w:tr>
    </w:tbl>
    <w:p w14:paraId="7286EDB4" w14:textId="4E5AFD1C" w:rsidR="003C21EB" w:rsidRDefault="00DE3D3D" w:rsidP="003C21EB">
      <w:r w:rsidRPr="00DE3D3D">
        <w:rPr>
          <w:i/>
          <w:iCs/>
        </w:rPr>
        <w:t xml:space="preserve">What system do you have in place for providing regular feedback to instructors on their performance? </w:t>
      </w:r>
      <w:r w:rsidR="00441665">
        <w:br/>
      </w:r>
      <w:sdt>
        <w:sdtPr>
          <w:id w:val="-920332120"/>
          <w:placeholder>
            <w:docPart w:val="DefaultPlaceholder_-1854013440"/>
          </w:placeholder>
          <w:showingPlcHdr/>
        </w:sdtPr>
        <w:sdtEndPr/>
        <w:sdtContent>
          <w:r w:rsidR="00441665" w:rsidRPr="00D45EA7">
            <w:rPr>
              <w:rStyle w:val="PlaceholderText"/>
            </w:rPr>
            <w:t>Click or tap here to enter text.</w:t>
          </w:r>
        </w:sdtContent>
      </w:sdt>
      <w:r w:rsidR="00441665">
        <w:br/>
      </w:r>
    </w:p>
    <w:p w14:paraId="52AC7632" w14:textId="77777777" w:rsidR="001C6793" w:rsidRDefault="001C6793" w:rsidP="003C21EB"/>
    <w:p w14:paraId="171B7AE6" w14:textId="77777777" w:rsidR="003C21EB" w:rsidRDefault="003C21EB" w:rsidP="003C21EB"/>
    <w:tbl>
      <w:tblPr>
        <w:tblStyle w:val="TableGrid"/>
        <w:tblW w:w="0" w:type="auto"/>
        <w:tblLook w:val="04A0" w:firstRow="1" w:lastRow="0" w:firstColumn="1" w:lastColumn="0" w:noHBand="0" w:noVBand="1"/>
      </w:tblPr>
      <w:tblGrid>
        <w:gridCol w:w="9350"/>
      </w:tblGrid>
      <w:tr w:rsidR="003C21EB" w14:paraId="049C0411" w14:textId="77777777" w:rsidTr="004A4B30">
        <w:trPr>
          <w:trHeight w:val="998"/>
        </w:trPr>
        <w:tc>
          <w:tcPr>
            <w:tcW w:w="9350" w:type="dxa"/>
            <w:shd w:val="clear" w:color="auto" w:fill="F2F2F2" w:themeFill="background1" w:themeFillShade="F2"/>
          </w:tcPr>
          <w:p w14:paraId="44325972" w14:textId="77777777" w:rsidR="003C21EB" w:rsidRDefault="003C21EB" w:rsidP="004A4B30">
            <w:pPr>
              <w:pStyle w:val="Heading3"/>
            </w:pPr>
            <w:r w:rsidRPr="00843BD5">
              <w:t>Additional Effective Practices</w:t>
            </w:r>
          </w:p>
          <w:p w14:paraId="5A9E43CD" w14:textId="69BB3E0D" w:rsidR="003C21EB" w:rsidRPr="00843BD5" w:rsidRDefault="003C21EB" w:rsidP="004A4B30">
            <w:pPr>
              <w:pStyle w:val="Heading4"/>
            </w:pPr>
            <w:r w:rsidRPr="00843BD5">
              <w:t xml:space="preserve">While not required, providers are encouraged to </w:t>
            </w:r>
            <w:r w:rsidR="001C6793">
              <w:t>adopt</w:t>
            </w:r>
            <w:r w:rsidRPr="00843BD5">
              <w:t xml:space="preserve"> these practices beyond CAMICB’s standards to enhance program quality.</w:t>
            </w:r>
          </w:p>
        </w:tc>
      </w:tr>
      <w:tr w:rsidR="003C21EB" w14:paraId="7A6077A6" w14:textId="77777777" w:rsidTr="003C21EB">
        <w:trPr>
          <w:trHeight w:val="1259"/>
        </w:trPr>
        <w:tc>
          <w:tcPr>
            <w:tcW w:w="9350" w:type="dxa"/>
            <w:shd w:val="clear" w:color="auto" w:fill="F2F2F2" w:themeFill="background1" w:themeFillShade="F2"/>
          </w:tcPr>
          <w:p w14:paraId="31C71A1A" w14:textId="77777777" w:rsidR="003C21EB" w:rsidRDefault="003C21EB" w:rsidP="003C21EB">
            <w:pPr>
              <w:pStyle w:val="ListParagraph"/>
              <w:numPr>
                <w:ilvl w:val="2"/>
                <w:numId w:val="15"/>
              </w:numPr>
              <w:spacing w:line="276" w:lineRule="auto"/>
              <w:ind w:left="510" w:hanging="180"/>
            </w:pPr>
            <w:r>
              <w:t>The provider offers educational process training to instructors.</w:t>
            </w:r>
          </w:p>
          <w:p w14:paraId="0CC95DAF" w14:textId="77777777" w:rsidR="003C21EB" w:rsidRDefault="003C21EB" w:rsidP="003C21EB">
            <w:pPr>
              <w:pStyle w:val="ListParagraph"/>
              <w:numPr>
                <w:ilvl w:val="2"/>
                <w:numId w:val="15"/>
              </w:numPr>
              <w:spacing w:line="276" w:lineRule="auto"/>
              <w:ind w:left="510" w:hanging="180"/>
            </w:pPr>
            <w:r>
              <w:t>The provider ensures a balance between program content and educational methodologies.</w:t>
            </w:r>
          </w:p>
          <w:p w14:paraId="7054A590" w14:textId="3A691908" w:rsidR="003C21EB" w:rsidRDefault="003C21EB" w:rsidP="003C21EB">
            <w:pPr>
              <w:pStyle w:val="ListParagraph"/>
              <w:numPr>
                <w:ilvl w:val="2"/>
                <w:numId w:val="15"/>
              </w:numPr>
              <w:spacing w:line="276" w:lineRule="auto"/>
              <w:ind w:left="510" w:hanging="180"/>
            </w:pPr>
            <w:r>
              <w:t>The provider involves a team in course development, including program development experts and content experts.</w:t>
            </w:r>
          </w:p>
        </w:tc>
      </w:tr>
    </w:tbl>
    <w:p w14:paraId="6A412D49" w14:textId="77777777" w:rsidR="00B046D9" w:rsidRDefault="00B046D9">
      <w:pPr>
        <w:rPr>
          <w:i/>
          <w:iCs/>
        </w:rPr>
        <w:sectPr w:rsidR="00B046D9" w:rsidSect="008F5240">
          <w:pgSz w:w="12240" w:h="15840"/>
          <w:pgMar w:top="1440" w:right="1440" w:bottom="1440" w:left="1440" w:header="720" w:footer="720" w:gutter="0"/>
          <w:cols w:space="720"/>
          <w:docGrid w:linePitch="360"/>
        </w:sectPr>
      </w:pPr>
    </w:p>
    <w:p w14:paraId="78D06473" w14:textId="65B208AA" w:rsidR="00B531BD" w:rsidRDefault="00573DB3" w:rsidP="00D91693">
      <w:pPr>
        <w:pStyle w:val="Heading1"/>
      </w:pPr>
      <w:r>
        <w:lastRenderedPageBreak/>
        <w:t xml:space="preserve">Requirement </w:t>
      </w:r>
      <w:r w:rsidR="00AB7077">
        <w:t>7</w:t>
      </w:r>
      <w:r w:rsidR="00D91693">
        <w:t>: Learning Environment and Support</w:t>
      </w:r>
    </w:p>
    <w:p w14:paraId="24D5D378" w14:textId="200C4677" w:rsidR="00B81003" w:rsidRPr="006606EE" w:rsidRDefault="00B81003" w:rsidP="00B81003">
      <w:r w:rsidRPr="006606EE">
        <w:t xml:space="preserve">The </w:t>
      </w:r>
      <w:r>
        <w:t>p</w:t>
      </w:r>
      <w:r w:rsidRPr="006606EE">
        <w:t xml:space="preserve">rovider </w:t>
      </w:r>
      <w:r>
        <w:t>must ensure</w:t>
      </w:r>
      <w:r w:rsidRPr="006606EE">
        <w:t xml:space="preserve"> that the learning environment</w:t>
      </w:r>
      <w:r w:rsidR="00CE5375">
        <w:t xml:space="preserve"> is</w:t>
      </w:r>
      <w:r w:rsidRPr="006606EE">
        <w:t xml:space="preserve"> </w:t>
      </w:r>
      <w:r>
        <w:t>consistent with the course’s objectives and</w:t>
      </w:r>
      <w:r w:rsidRPr="006606EE">
        <w:t xml:space="preserve"> conducive to achieving the intended learning outcomes. This commitment extends to all aspects of the learning experience, including the physical </w:t>
      </w:r>
      <w:r>
        <w:t>or</w:t>
      </w:r>
      <w:r w:rsidRPr="006606EE">
        <w:t xml:space="preserve"> virtual </w:t>
      </w:r>
      <w:r>
        <w:t xml:space="preserve">course </w:t>
      </w:r>
      <w:r w:rsidRPr="006606EE">
        <w:t>setting</w:t>
      </w:r>
      <w:r>
        <w:t xml:space="preserve"> and</w:t>
      </w:r>
      <w:r w:rsidRPr="006606EE">
        <w:t xml:space="preserve"> the resources used.</w:t>
      </w:r>
    </w:p>
    <w:p w14:paraId="3A1E7491" w14:textId="2549D215" w:rsidR="00B81003" w:rsidRPr="006606EE" w:rsidRDefault="00CE5375" w:rsidP="00B81003">
      <w:r w:rsidRPr="006606EE">
        <w:t xml:space="preserve">All reference materials, resources, and instructional aids </w:t>
      </w:r>
      <w:r>
        <w:t>must be</w:t>
      </w:r>
      <w:r w:rsidRPr="006606EE">
        <w:t xml:space="preserve"> carefully selected to align with the course</w:t>
      </w:r>
      <w:r>
        <w:t>’</w:t>
      </w:r>
      <w:r w:rsidRPr="006606EE">
        <w:t>s purpose.</w:t>
      </w:r>
      <w:r>
        <w:t xml:space="preserve"> </w:t>
      </w:r>
      <w:r w:rsidR="00B81003" w:rsidRPr="006606EE">
        <w:t xml:space="preserve">In designing and utilizing physical facilities, attention </w:t>
      </w:r>
      <w:r w:rsidR="00B81003">
        <w:t>should be</w:t>
      </w:r>
      <w:r w:rsidR="00B81003" w:rsidRPr="006606EE">
        <w:t xml:space="preserve"> paid to elements such as lighting, sound, seating arrangements, and visual aids to eliminate any barriers to learning. </w:t>
      </w:r>
    </w:p>
    <w:p w14:paraId="02FFA7D2" w14:textId="252C4F7E" w:rsidR="00B81003" w:rsidRDefault="00B81003" w:rsidP="0012258D">
      <w:pPr>
        <w:spacing w:after="0"/>
      </w:pPr>
      <w:r>
        <w:t>The provider should</w:t>
      </w:r>
      <w:r w:rsidRPr="006606EE">
        <w:t xml:space="preserve"> actively seek innovative ways to support learners. This includes ensuring accessibility and engagement, regardless of the learning environment.</w:t>
      </w:r>
    </w:p>
    <w:p w14:paraId="520BCD05" w14:textId="77777777" w:rsidR="0012258D" w:rsidRPr="00B81003" w:rsidRDefault="0012258D" w:rsidP="0012258D">
      <w:pPr>
        <w:spacing w:after="0"/>
      </w:pPr>
    </w:p>
    <w:tbl>
      <w:tblPr>
        <w:tblStyle w:val="TableGrid"/>
        <w:tblW w:w="0" w:type="auto"/>
        <w:tblLook w:val="04A0" w:firstRow="1" w:lastRow="0" w:firstColumn="1" w:lastColumn="0" w:noHBand="0" w:noVBand="1"/>
      </w:tblPr>
      <w:tblGrid>
        <w:gridCol w:w="495"/>
        <w:gridCol w:w="8855"/>
      </w:tblGrid>
      <w:tr w:rsidR="0012258D" w14:paraId="1B02E5DB" w14:textId="77777777" w:rsidTr="0012258D">
        <w:trPr>
          <w:trHeight w:val="881"/>
        </w:trPr>
        <w:tc>
          <w:tcPr>
            <w:tcW w:w="355" w:type="dxa"/>
            <w:shd w:val="clear" w:color="auto" w:fill="ECF2FA"/>
          </w:tcPr>
          <w:p w14:paraId="3BF3FE05" w14:textId="1666B800" w:rsidR="0012258D" w:rsidRDefault="0012258D" w:rsidP="00D91693">
            <w:r>
              <w:t>7.1</w:t>
            </w:r>
          </w:p>
        </w:tc>
        <w:tc>
          <w:tcPr>
            <w:tcW w:w="8995" w:type="dxa"/>
            <w:shd w:val="clear" w:color="auto" w:fill="ECF2FA"/>
          </w:tcPr>
          <w:p w14:paraId="4B732297" w14:textId="566C5E33" w:rsidR="0012258D" w:rsidRDefault="0012258D" w:rsidP="00D91693">
            <w:r w:rsidRPr="00CB37FA">
              <w:t>The learning environment and resources, including facilities and materials, must be appropriate to the content and method of course delivery</w:t>
            </w:r>
            <w:r>
              <w:t xml:space="preserve"> </w:t>
            </w:r>
            <w:r w:rsidRPr="00CB37FA">
              <w:t>and enhance learning consistent with the organization</w:t>
            </w:r>
            <w:r>
              <w:t>’</w:t>
            </w:r>
            <w:r w:rsidRPr="00CB37FA">
              <w:t>s mission and the course</w:t>
            </w:r>
            <w:r>
              <w:t>’</w:t>
            </w:r>
            <w:r w:rsidRPr="00CB37FA">
              <w:t>s learning outcomes.</w:t>
            </w:r>
          </w:p>
        </w:tc>
      </w:tr>
    </w:tbl>
    <w:p w14:paraId="0621F3F4" w14:textId="72786413" w:rsidR="005244DF" w:rsidRDefault="00CB37FA" w:rsidP="0012258D">
      <w:pPr>
        <w:spacing w:after="0"/>
      </w:pPr>
      <w:r w:rsidRPr="00CB37FA">
        <w:rPr>
          <w:i/>
          <w:iCs/>
        </w:rPr>
        <w:t>Describe your learning environment and resources, including facilities and materials</w:t>
      </w:r>
      <w:r w:rsidR="0022758E">
        <w:rPr>
          <w:i/>
          <w:iCs/>
        </w:rPr>
        <w:t>.</w:t>
      </w:r>
    </w:p>
    <w:sdt>
      <w:sdtPr>
        <w:id w:val="949972765"/>
        <w:placeholder>
          <w:docPart w:val="DefaultPlaceholder_-1854013440"/>
        </w:placeholder>
        <w:showingPlcHdr/>
      </w:sdtPr>
      <w:sdtEndPr/>
      <w:sdtContent>
        <w:p w14:paraId="2A065143" w14:textId="00182339" w:rsidR="001C6793" w:rsidRPr="001C6793" w:rsidRDefault="001C6793" w:rsidP="0012258D">
          <w:pPr>
            <w:spacing w:after="0"/>
          </w:pPr>
          <w:r w:rsidRPr="00D45EA7">
            <w:rPr>
              <w:rStyle w:val="PlaceholderText"/>
            </w:rPr>
            <w:t>Click or tap here to enter text.</w:t>
          </w:r>
        </w:p>
      </w:sdtContent>
    </w:sdt>
    <w:p w14:paraId="24A91410" w14:textId="77777777" w:rsidR="0012258D" w:rsidRPr="00D91693" w:rsidRDefault="0012258D" w:rsidP="0012258D">
      <w:pPr>
        <w:spacing w:after="0"/>
        <w:rPr>
          <w:i/>
          <w:iCs/>
        </w:rPr>
      </w:pPr>
    </w:p>
    <w:tbl>
      <w:tblPr>
        <w:tblStyle w:val="TableGrid"/>
        <w:tblW w:w="0" w:type="auto"/>
        <w:tblLook w:val="04A0" w:firstRow="1" w:lastRow="0" w:firstColumn="1" w:lastColumn="0" w:noHBand="0" w:noVBand="1"/>
      </w:tblPr>
      <w:tblGrid>
        <w:gridCol w:w="495"/>
        <w:gridCol w:w="8855"/>
      </w:tblGrid>
      <w:tr w:rsidR="0012258D" w14:paraId="25744F85" w14:textId="77777777" w:rsidTr="0012258D">
        <w:trPr>
          <w:trHeight w:val="620"/>
        </w:trPr>
        <w:tc>
          <w:tcPr>
            <w:tcW w:w="355" w:type="dxa"/>
            <w:shd w:val="clear" w:color="auto" w:fill="ECF2FA"/>
          </w:tcPr>
          <w:p w14:paraId="1011E3DF" w14:textId="011265D1" w:rsidR="0012258D" w:rsidRPr="00FD6245" w:rsidRDefault="0012258D" w:rsidP="00CB37FA">
            <w:r>
              <w:t>7.2</w:t>
            </w:r>
          </w:p>
        </w:tc>
        <w:tc>
          <w:tcPr>
            <w:tcW w:w="8995" w:type="dxa"/>
            <w:shd w:val="clear" w:color="auto" w:fill="ECF2FA"/>
          </w:tcPr>
          <w:p w14:paraId="3594B86F" w14:textId="203E460B" w:rsidR="0012258D" w:rsidRDefault="0012258D" w:rsidP="00CB37FA">
            <w:r w:rsidRPr="00FD6245">
              <w:t>Facilities, learning experiences, and resource materials must be accessible to all individuals, including those with disabilities.</w:t>
            </w:r>
          </w:p>
        </w:tc>
      </w:tr>
    </w:tbl>
    <w:p w14:paraId="39876608" w14:textId="20356603" w:rsidR="001C6793" w:rsidRPr="001C6793" w:rsidRDefault="00CB37FA">
      <w:r w:rsidRPr="00CB37FA">
        <w:rPr>
          <w:i/>
          <w:iCs/>
        </w:rPr>
        <w:t xml:space="preserve">What measures </w:t>
      </w:r>
      <w:r w:rsidR="00E0308F">
        <w:rPr>
          <w:i/>
          <w:iCs/>
        </w:rPr>
        <w:t>are</w:t>
      </w:r>
      <w:r w:rsidRPr="00CB37FA">
        <w:rPr>
          <w:i/>
          <w:iCs/>
        </w:rPr>
        <w:t xml:space="preserve"> in place to ensure that your educational facilities, learning experiences, and resource materials are accessible to all individuals, including those with disabilities?</w:t>
      </w:r>
      <w:r w:rsidR="001C6793">
        <w:br/>
      </w:r>
      <w:sdt>
        <w:sdtPr>
          <w:id w:val="-1161241327"/>
          <w:placeholder>
            <w:docPart w:val="DefaultPlaceholder_-1854013440"/>
          </w:placeholder>
          <w:showingPlcHdr/>
        </w:sdtPr>
        <w:sdtEndPr/>
        <w:sdtContent>
          <w:r w:rsidR="001C6793" w:rsidRPr="00D45EA7">
            <w:rPr>
              <w:rStyle w:val="PlaceholderText"/>
            </w:rPr>
            <w:t>Click or tap here to enter text.</w:t>
          </w:r>
        </w:sdtContent>
      </w:sdt>
    </w:p>
    <w:p w14:paraId="54DCC39C" w14:textId="77777777" w:rsidR="00B81003" w:rsidRDefault="00B81003">
      <w:pPr>
        <w:rPr>
          <w:i/>
          <w:iCs/>
        </w:rPr>
      </w:pPr>
    </w:p>
    <w:p w14:paraId="18364D6C" w14:textId="77777777" w:rsidR="003C21EB" w:rsidRDefault="003C21EB">
      <w:pPr>
        <w:rPr>
          <w:i/>
          <w:iCs/>
        </w:rPr>
      </w:pPr>
    </w:p>
    <w:p w14:paraId="4EF7B563" w14:textId="77777777" w:rsidR="003C21EB" w:rsidRDefault="003C21EB">
      <w:pPr>
        <w:rPr>
          <w:i/>
          <w:iCs/>
        </w:rPr>
      </w:pPr>
    </w:p>
    <w:p w14:paraId="7C0D639C" w14:textId="77777777" w:rsidR="003C21EB" w:rsidRDefault="003C21EB">
      <w:pPr>
        <w:rPr>
          <w:i/>
          <w:iCs/>
        </w:rPr>
      </w:pPr>
    </w:p>
    <w:p w14:paraId="19D8C6B4" w14:textId="77777777" w:rsidR="003C21EB" w:rsidRDefault="003C21EB">
      <w:pPr>
        <w:rPr>
          <w:i/>
          <w:iCs/>
        </w:rPr>
      </w:pPr>
    </w:p>
    <w:tbl>
      <w:tblPr>
        <w:tblStyle w:val="TableGrid"/>
        <w:tblpPr w:leftFromText="180" w:rightFromText="180" w:vertAnchor="text" w:horzAnchor="margin" w:tblpY="182"/>
        <w:tblW w:w="0" w:type="auto"/>
        <w:tblLook w:val="04A0" w:firstRow="1" w:lastRow="0" w:firstColumn="1" w:lastColumn="0" w:noHBand="0" w:noVBand="1"/>
      </w:tblPr>
      <w:tblGrid>
        <w:gridCol w:w="9350"/>
      </w:tblGrid>
      <w:tr w:rsidR="00DD5B19" w14:paraId="55C7B80E" w14:textId="77777777" w:rsidTr="00DD5B19">
        <w:trPr>
          <w:trHeight w:val="998"/>
        </w:trPr>
        <w:tc>
          <w:tcPr>
            <w:tcW w:w="9350" w:type="dxa"/>
            <w:shd w:val="clear" w:color="auto" w:fill="F2F2F2" w:themeFill="background1" w:themeFillShade="F2"/>
          </w:tcPr>
          <w:p w14:paraId="5F13974C" w14:textId="77777777" w:rsidR="00DD5B19" w:rsidRDefault="00DD5B19" w:rsidP="00DD5B19">
            <w:pPr>
              <w:pStyle w:val="Heading3"/>
            </w:pPr>
            <w:r w:rsidRPr="00843BD5">
              <w:t>Additional Effective Practices</w:t>
            </w:r>
          </w:p>
          <w:p w14:paraId="0DA032C0" w14:textId="77777777" w:rsidR="00DD5B19" w:rsidRPr="00843BD5" w:rsidRDefault="00DD5B19" w:rsidP="00DD5B19">
            <w:pPr>
              <w:pStyle w:val="Heading4"/>
            </w:pPr>
            <w:r w:rsidRPr="00843BD5">
              <w:t xml:space="preserve">While not required, providers are encouraged to </w:t>
            </w:r>
            <w:r>
              <w:t>adopt</w:t>
            </w:r>
            <w:r w:rsidRPr="00843BD5">
              <w:t xml:space="preserve"> these practices beyond CAMICB’s standards to enhance program quality.</w:t>
            </w:r>
          </w:p>
        </w:tc>
      </w:tr>
      <w:tr w:rsidR="00DD5B19" w14:paraId="21E6C7A2" w14:textId="77777777" w:rsidTr="00DD5B19">
        <w:trPr>
          <w:trHeight w:val="1259"/>
        </w:trPr>
        <w:tc>
          <w:tcPr>
            <w:tcW w:w="9350" w:type="dxa"/>
            <w:shd w:val="clear" w:color="auto" w:fill="F2F2F2" w:themeFill="background1" w:themeFillShade="F2"/>
          </w:tcPr>
          <w:p w14:paraId="69ECD5CA" w14:textId="77777777" w:rsidR="00DD5B19" w:rsidRDefault="00DD5B19" w:rsidP="00DD5B19">
            <w:pPr>
              <w:pStyle w:val="ListParagraph"/>
              <w:numPr>
                <w:ilvl w:val="2"/>
                <w:numId w:val="15"/>
              </w:numPr>
              <w:spacing w:line="276" w:lineRule="auto"/>
              <w:ind w:left="510" w:hanging="180"/>
            </w:pPr>
            <w:r>
              <w:t>The learning environment accommodates varied instructional techniques like small-group discussion, experiential learning, and interactive learning.</w:t>
            </w:r>
          </w:p>
          <w:p w14:paraId="3DD28505" w14:textId="77777777" w:rsidR="00DD5B19" w:rsidRDefault="00DD5B19" w:rsidP="00DD5B19">
            <w:pPr>
              <w:pStyle w:val="ListParagraph"/>
              <w:numPr>
                <w:ilvl w:val="2"/>
                <w:numId w:val="15"/>
              </w:numPr>
              <w:spacing w:line="276" w:lineRule="auto"/>
              <w:ind w:left="510" w:hanging="180"/>
            </w:pPr>
            <w:r>
              <w:t>The learning environment enhances learning by replicating workplace conditions for applying new knowledge and skills.</w:t>
            </w:r>
          </w:p>
          <w:p w14:paraId="5045D41A" w14:textId="77777777" w:rsidR="00DD5B19" w:rsidRDefault="00DD5B19" w:rsidP="00DD5B19">
            <w:pPr>
              <w:pStyle w:val="ListParagraph"/>
              <w:numPr>
                <w:ilvl w:val="2"/>
                <w:numId w:val="15"/>
              </w:numPr>
              <w:spacing w:line="276" w:lineRule="auto"/>
              <w:ind w:left="510" w:hanging="180"/>
            </w:pPr>
            <w:r>
              <w:t>Learners can access resources like job aids, software, and subject matter experts.</w:t>
            </w:r>
          </w:p>
        </w:tc>
      </w:tr>
    </w:tbl>
    <w:p w14:paraId="1CAB44B2" w14:textId="77777777" w:rsidR="00B046D9" w:rsidRDefault="00B046D9">
      <w:pPr>
        <w:rPr>
          <w:i/>
          <w:iCs/>
        </w:rPr>
        <w:sectPr w:rsidR="00B046D9" w:rsidSect="008F5240">
          <w:pgSz w:w="12240" w:h="15840"/>
          <w:pgMar w:top="1440" w:right="1440" w:bottom="1440" w:left="1440" w:header="720" w:footer="720" w:gutter="0"/>
          <w:cols w:space="720"/>
          <w:docGrid w:linePitch="360"/>
        </w:sectPr>
      </w:pPr>
    </w:p>
    <w:p w14:paraId="2D5996D3" w14:textId="750E71D0" w:rsidR="00637373" w:rsidRDefault="00573DB3" w:rsidP="00637373">
      <w:pPr>
        <w:pStyle w:val="Heading1"/>
      </w:pPr>
      <w:r>
        <w:lastRenderedPageBreak/>
        <w:t xml:space="preserve">Requirement </w:t>
      </w:r>
      <w:r w:rsidR="00AB7077">
        <w:t>8</w:t>
      </w:r>
      <w:r w:rsidR="00637373">
        <w:t>: Requirements for Completion</w:t>
      </w:r>
    </w:p>
    <w:p w14:paraId="75FF7052" w14:textId="1E5C733B" w:rsidR="00183248" w:rsidRDefault="00A76F20" w:rsidP="002C0BD8">
      <w:pPr>
        <w:spacing w:after="0"/>
      </w:pPr>
      <w:r w:rsidRPr="0094360E">
        <w:t xml:space="preserve">The </w:t>
      </w:r>
      <w:r>
        <w:t>p</w:t>
      </w:r>
      <w:r w:rsidRPr="0094360E">
        <w:t xml:space="preserve">rovider is responsible for establishing clear and comprehensive requirements for satisfactory course completion, </w:t>
      </w:r>
      <w:r>
        <w:t>including</w:t>
      </w:r>
      <w:r w:rsidRPr="0094360E">
        <w:t xml:space="preserve"> </w:t>
      </w:r>
      <w:r>
        <w:t>some form of learning assessment</w:t>
      </w:r>
      <w:r w:rsidRPr="0094360E">
        <w:t xml:space="preserve"> aligned with the intended learning outcomes. The assessment</w:t>
      </w:r>
      <w:r>
        <w:t xml:space="preserve"> </w:t>
      </w:r>
      <w:r w:rsidRPr="0094360E">
        <w:t xml:space="preserve">may take various forms, such as </w:t>
      </w:r>
      <w:r w:rsidR="000C39BF">
        <w:t xml:space="preserve">a </w:t>
      </w:r>
      <w:r w:rsidRPr="0094360E">
        <w:t xml:space="preserve">written or oral examination, question-and-answer session, written report, or </w:t>
      </w:r>
      <w:r w:rsidR="000C39BF">
        <w:t>completion of a project</w:t>
      </w:r>
      <w:r w:rsidRPr="0094360E">
        <w:t xml:space="preserve">. </w:t>
      </w:r>
      <w:r>
        <w:t>Learners must be</w:t>
      </w:r>
      <w:r w:rsidRPr="0094360E">
        <w:t xml:space="preserve"> informed of these completion requirements and assessment methods </w:t>
      </w:r>
      <w:r w:rsidR="00EB4CC3">
        <w:t>at the beginning of the course</w:t>
      </w:r>
      <w:r w:rsidRPr="0094360E">
        <w:t>. This ensures transparency</w:t>
      </w:r>
      <w:r w:rsidR="00E548B9">
        <w:t>, prepares learners for what will be required to pass the course, and establishes CMCA eligibility</w:t>
      </w:r>
      <w:r w:rsidRPr="0094360E">
        <w:t>.</w:t>
      </w:r>
    </w:p>
    <w:p w14:paraId="4A041A45" w14:textId="77777777" w:rsidR="002C0BD8" w:rsidRPr="00183248" w:rsidRDefault="002C0BD8" w:rsidP="002C0BD8">
      <w:pPr>
        <w:spacing w:after="0"/>
      </w:pPr>
    </w:p>
    <w:tbl>
      <w:tblPr>
        <w:tblStyle w:val="TableGrid"/>
        <w:tblW w:w="0" w:type="auto"/>
        <w:tblLook w:val="04A0" w:firstRow="1" w:lastRow="0" w:firstColumn="1" w:lastColumn="0" w:noHBand="0" w:noVBand="1"/>
      </w:tblPr>
      <w:tblGrid>
        <w:gridCol w:w="495"/>
        <w:gridCol w:w="8855"/>
      </w:tblGrid>
      <w:tr w:rsidR="004D3226" w14:paraId="483DC616" w14:textId="77777777" w:rsidTr="004D3226">
        <w:trPr>
          <w:trHeight w:val="602"/>
        </w:trPr>
        <w:tc>
          <w:tcPr>
            <w:tcW w:w="355" w:type="dxa"/>
            <w:shd w:val="clear" w:color="auto" w:fill="ECF2FA"/>
          </w:tcPr>
          <w:p w14:paraId="1F269D0D" w14:textId="14FCC407" w:rsidR="004D3226" w:rsidRDefault="004D3226" w:rsidP="00E974CB">
            <w:r>
              <w:t>8.1</w:t>
            </w:r>
          </w:p>
        </w:tc>
        <w:tc>
          <w:tcPr>
            <w:tcW w:w="8995" w:type="dxa"/>
            <w:shd w:val="clear" w:color="auto" w:fill="ECF2FA"/>
          </w:tcPr>
          <w:p w14:paraId="33471001" w14:textId="5BBD5521" w:rsidR="004D3226" w:rsidRDefault="004D3226" w:rsidP="00E974CB">
            <w:r w:rsidRPr="005668E9">
              <w:t xml:space="preserve">The </w:t>
            </w:r>
            <w:r>
              <w:t>p</w:t>
            </w:r>
            <w:r w:rsidRPr="005668E9">
              <w:t xml:space="preserve">rovider must establish </w:t>
            </w:r>
            <w:r>
              <w:t xml:space="preserve">clear requirements for </w:t>
            </w:r>
            <w:r w:rsidRPr="005668E9">
              <w:t xml:space="preserve">satisfactory completion, including </w:t>
            </w:r>
            <w:r>
              <w:t>some form of learning assessment</w:t>
            </w:r>
            <w:r w:rsidRPr="005668E9">
              <w:t>, and communicate these to learners before the course begins.</w:t>
            </w:r>
          </w:p>
        </w:tc>
      </w:tr>
    </w:tbl>
    <w:p w14:paraId="3222DD8F" w14:textId="665CD5EB" w:rsidR="00637373" w:rsidRDefault="004F120E" w:rsidP="003966F5">
      <w:pPr>
        <w:spacing w:after="0"/>
      </w:pPr>
      <w:r w:rsidRPr="004F120E">
        <w:rPr>
          <w:i/>
          <w:iCs/>
        </w:rPr>
        <w:t xml:space="preserve">How </w:t>
      </w:r>
      <w:r w:rsidR="000D44AF">
        <w:rPr>
          <w:i/>
          <w:iCs/>
        </w:rPr>
        <w:t>are the</w:t>
      </w:r>
      <w:r w:rsidRPr="004F120E">
        <w:rPr>
          <w:i/>
          <w:iCs/>
        </w:rPr>
        <w:t xml:space="preserve"> requirements for satisfactory </w:t>
      </w:r>
      <w:r w:rsidR="00E0308F">
        <w:rPr>
          <w:i/>
          <w:iCs/>
        </w:rPr>
        <w:t>course completion</w:t>
      </w:r>
      <w:r w:rsidRPr="004F120E">
        <w:rPr>
          <w:i/>
          <w:iCs/>
        </w:rPr>
        <w:t xml:space="preserve">, including learning assessment procedures, </w:t>
      </w:r>
      <w:r w:rsidR="000D44AF">
        <w:rPr>
          <w:i/>
          <w:iCs/>
        </w:rPr>
        <w:t xml:space="preserve">communicated </w:t>
      </w:r>
      <w:r w:rsidRPr="004F120E">
        <w:rPr>
          <w:i/>
          <w:iCs/>
        </w:rPr>
        <w:t>to learners?</w:t>
      </w:r>
      <w:r w:rsidR="003966F5">
        <w:rPr>
          <w:i/>
          <w:iCs/>
        </w:rPr>
        <w:t xml:space="preserve"> </w:t>
      </w:r>
      <w:r w:rsidR="0022758E">
        <w:rPr>
          <w:i/>
          <w:iCs/>
        </w:rPr>
        <w:t>P</w:t>
      </w:r>
      <w:r w:rsidRPr="004F120E">
        <w:rPr>
          <w:i/>
          <w:iCs/>
        </w:rPr>
        <w:t>rovide examples of the materials or methods used to inform learners about these requirements</w:t>
      </w:r>
      <w:r w:rsidR="0022758E">
        <w:rPr>
          <w:i/>
          <w:iCs/>
        </w:rPr>
        <w:t>.</w:t>
      </w:r>
    </w:p>
    <w:sdt>
      <w:sdtPr>
        <w:id w:val="-1532644148"/>
        <w:placeholder>
          <w:docPart w:val="DefaultPlaceholder_-1854013440"/>
        </w:placeholder>
        <w:showingPlcHdr/>
      </w:sdtPr>
      <w:sdtEndPr/>
      <w:sdtContent>
        <w:p w14:paraId="529DAB1D" w14:textId="2DE0D837" w:rsidR="00E548B9" w:rsidRPr="00E548B9" w:rsidRDefault="00E548B9" w:rsidP="003966F5">
          <w:pPr>
            <w:spacing w:after="0"/>
          </w:pPr>
          <w:r w:rsidRPr="00D45EA7">
            <w:rPr>
              <w:rStyle w:val="PlaceholderText"/>
            </w:rPr>
            <w:t>Click or tap here to enter text.</w:t>
          </w:r>
        </w:p>
      </w:sdtContent>
    </w:sdt>
    <w:p w14:paraId="572D061C" w14:textId="77777777" w:rsidR="003966F5" w:rsidRPr="00D64009" w:rsidRDefault="003966F5" w:rsidP="003966F5">
      <w:pPr>
        <w:spacing w:after="0"/>
        <w:rPr>
          <w:i/>
          <w:iCs/>
        </w:rPr>
      </w:pPr>
    </w:p>
    <w:tbl>
      <w:tblPr>
        <w:tblStyle w:val="TableGrid"/>
        <w:tblW w:w="0" w:type="auto"/>
        <w:tblLook w:val="04A0" w:firstRow="1" w:lastRow="0" w:firstColumn="1" w:lastColumn="0" w:noHBand="0" w:noVBand="1"/>
      </w:tblPr>
      <w:tblGrid>
        <w:gridCol w:w="495"/>
        <w:gridCol w:w="8855"/>
      </w:tblGrid>
      <w:tr w:rsidR="004D3226" w14:paraId="62AC0C17" w14:textId="77777777" w:rsidTr="004D3226">
        <w:trPr>
          <w:trHeight w:val="629"/>
        </w:trPr>
        <w:tc>
          <w:tcPr>
            <w:tcW w:w="445" w:type="dxa"/>
            <w:shd w:val="clear" w:color="auto" w:fill="ECF2FA"/>
          </w:tcPr>
          <w:p w14:paraId="33B535D4" w14:textId="5E19333C" w:rsidR="004D3226" w:rsidRPr="004F120E" w:rsidRDefault="004D3226" w:rsidP="00E974CB">
            <w:r>
              <w:t>8</w:t>
            </w:r>
            <w:r w:rsidRPr="004F120E">
              <w:t>.2</w:t>
            </w:r>
          </w:p>
        </w:tc>
        <w:tc>
          <w:tcPr>
            <w:tcW w:w="8905" w:type="dxa"/>
            <w:shd w:val="clear" w:color="auto" w:fill="ECF2FA"/>
          </w:tcPr>
          <w:p w14:paraId="32A0ECE0" w14:textId="212C1884" w:rsidR="004D3226" w:rsidRDefault="004D3226" w:rsidP="00E974CB">
            <w:r w:rsidRPr="004F120E">
              <w:t>Learning assessments must measure the learner</w:t>
            </w:r>
            <w:r>
              <w:t>’</w:t>
            </w:r>
            <w:r w:rsidRPr="004F120E">
              <w:t xml:space="preserve">s achievement of the intended learning outcomes. </w:t>
            </w:r>
          </w:p>
        </w:tc>
      </w:tr>
    </w:tbl>
    <w:p w14:paraId="5ED8FBB5" w14:textId="755051C3" w:rsidR="00C9044D" w:rsidRDefault="00B9419B" w:rsidP="003966F5">
      <w:pPr>
        <w:spacing w:after="0"/>
      </w:pPr>
      <w:r>
        <w:rPr>
          <w:i/>
          <w:iCs/>
        </w:rPr>
        <w:t>What types of assessment are used</w:t>
      </w:r>
      <w:r w:rsidR="005B2787">
        <w:rPr>
          <w:i/>
          <w:iCs/>
        </w:rPr>
        <w:t xml:space="preserve"> </w:t>
      </w:r>
      <w:r w:rsidR="00AF7339">
        <w:rPr>
          <w:i/>
          <w:iCs/>
        </w:rPr>
        <w:t>to measure the learner’s</w:t>
      </w:r>
      <w:r w:rsidR="00C77BC1">
        <w:rPr>
          <w:i/>
          <w:iCs/>
        </w:rPr>
        <w:t xml:space="preserve"> </w:t>
      </w:r>
      <w:r w:rsidR="008D39E8">
        <w:rPr>
          <w:i/>
          <w:iCs/>
        </w:rPr>
        <w:t xml:space="preserve">progress </w:t>
      </w:r>
      <w:r w:rsidR="005B2787">
        <w:rPr>
          <w:i/>
          <w:iCs/>
        </w:rPr>
        <w:t>(e.g., quizzes, assignments, exams)</w:t>
      </w:r>
      <w:r w:rsidR="003E2255">
        <w:rPr>
          <w:i/>
          <w:iCs/>
        </w:rPr>
        <w:t xml:space="preserve"> and what scoring guides are used in grading the assessments?</w:t>
      </w:r>
    </w:p>
    <w:sdt>
      <w:sdtPr>
        <w:id w:val="-2108187547"/>
        <w:placeholder>
          <w:docPart w:val="DefaultPlaceholder_-1854013440"/>
        </w:placeholder>
        <w:showingPlcHdr/>
      </w:sdtPr>
      <w:sdtEndPr/>
      <w:sdtContent>
        <w:p w14:paraId="05633608" w14:textId="1981876D" w:rsidR="00E548B9" w:rsidRPr="00E548B9" w:rsidRDefault="00E548B9" w:rsidP="003966F5">
          <w:pPr>
            <w:spacing w:after="0"/>
          </w:pPr>
          <w:r w:rsidRPr="00D45EA7">
            <w:rPr>
              <w:rStyle w:val="PlaceholderText"/>
            </w:rPr>
            <w:t>Click or tap here to enter text.</w:t>
          </w:r>
        </w:p>
      </w:sdtContent>
    </w:sdt>
    <w:p w14:paraId="7EFD0797" w14:textId="77777777" w:rsidR="003966F5" w:rsidRDefault="003966F5" w:rsidP="003966F5">
      <w:pPr>
        <w:spacing w:after="0"/>
        <w:rPr>
          <w:i/>
          <w:iCs/>
        </w:rPr>
      </w:pPr>
    </w:p>
    <w:tbl>
      <w:tblPr>
        <w:tblStyle w:val="TableGrid"/>
        <w:tblW w:w="0" w:type="auto"/>
        <w:tblLook w:val="04A0" w:firstRow="1" w:lastRow="0" w:firstColumn="1" w:lastColumn="0" w:noHBand="0" w:noVBand="1"/>
      </w:tblPr>
      <w:tblGrid>
        <w:gridCol w:w="495"/>
        <w:gridCol w:w="8855"/>
      </w:tblGrid>
      <w:tr w:rsidR="004D3226" w14:paraId="58CD4DD5" w14:textId="77777777" w:rsidTr="004D3226">
        <w:trPr>
          <w:trHeight w:val="602"/>
        </w:trPr>
        <w:tc>
          <w:tcPr>
            <w:tcW w:w="445" w:type="dxa"/>
            <w:shd w:val="clear" w:color="auto" w:fill="ECF2FA"/>
          </w:tcPr>
          <w:p w14:paraId="6C89BDEB" w14:textId="57FBEBC7" w:rsidR="004D3226" w:rsidRDefault="004D3226" w:rsidP="00E733E3">
            <w:r>
              <w:t>8</w:t>
            </w:r>
            <w:r w:rsidRPr="004F120E">
              <w:t>.3</w:t>
            </w:r>
          </w:p>
        </w:tc>
        <w:tc>
          <w:tcPr>
            <w:tcW w:w="8905" w:type="dxa"/>
            <w:shd w:val="clear" w:color="auto" w:fill="ECF2FA"/>
          </w:tcPr>
          <w:p w14:paraId="0520DD0F" w14:textId="2ABE95E8" w:rsidR="004D3226" w:rsidRDefault="004D3226" w:rsidP="00E733E3">
            <w:r>
              <w:t>The p</w:t>
            </w:r>
            <w:r w:rsidRPr="004F120E">
              <w:t xml:space="preserve">rovider </w:t>
            </w:r>
            <w:r>
              <w:t>must</w:t>
            </w:r>
            <w:r w:rsidRPr="004F120E">
              <w:t xml:space="preserve"> notify learners whether they have met the </w:t>
            </w:r>
            <w:r>
              <w:t>requirements for satisfactory completion.</w:t>
            </w:r>
          </w:p>
        </w:tc>
      </w:tr>
    </w:tbl>
    <w:p w14:paraId="1B40FC7D" w14:textId="12D5DE27" w:rsidR="004F120E" w:rsidRDefault="000D44AF" w:rsidP="004F120E">
      <w:r>
        <w:rPr>
          <w:i/>
          <w:iCs/>
        </w:rPr>
        <w:t>How are</w:t>
      </w:r>
      <w:r w:rsidR="004F120E" w:rsidRPr="004F120E">
        <w:rPr>
          <w:i/>
          <w:iCs/>
        </w:rPr>
        <w:t xml:space="preserve"> learners </w:t>
      </w:r>
      <w:r>
        <w:rPr>
          <w:i/>
          <w:iCs/>
        </w:rPr>
        <w:t>notified of t</w:t>
      </w:r>
      <w:r w:rsidR="004F120E" w:rsidRPr="004F120E">
        <w:rPr>
          <w:i/>
          <w:iCs/>
        </w:rPr>
        <w:t>heir completion status?</w:t>
      </w:r>
      <w:r>
        <w:rPr>
          <w:i/>
          <w:iCs/>
        </w:rPr>
        <w:t xml:space="preserve"> Provide sample notice</w:t>
      </w:r>
      <w:r w:rsidR="00CB147F">
        <w:rPr>
          <w:i/>
          <w:iCs/>
        </w:rPr>
        <w:t>s</w:t>
      </w:r>
      <w:r>
        <w:rPr>
          <w:i/>
          <w:iCs/>
        </w:rPr>
        <w:t xml:space="preserve"> of </w:t>
      </w:r>
      <w:r w:rsidR="00CB147F">
        <w:rPr>
          <w:i/>
          <w:iCs/>
        </w:rPr>
        <w:t xml:space="preserve">successful </w:t>
      </w:r>
      <w:r w:rsidR="00B55450">
        <w:rPr>
          <w:i/>
          <w:iCs/>
        </w:rPr>
        <w:t xml:space="preserve">completion and unsuccessful completion. </w:t>
      </w:r>
    </w:p>
    <w:sdt>
      <w:sdtPr>
        <w:id w:val="2069143310"/>
        <w:placeholder>
          <w:docPart w:val="DefaultPlaceholder_-1854013440"/>
        </w:placeholder>
        <w:showingPlcHdr/>
      </w:sdtPr>
      <w:sdtEndPr/>
      <w:sdtContent>
        <w:p w14:paraId="52F14CB1" w14:textId="2376AFD0" w:rsidR="00E548B9" w:rsidRPr="00E548B9" w:rsidRDefault="00E548B9" w:rsidP="004F120E">
          <w:r w:rsidRPr="00D45EA7">
            <w:rPr>
              <w:rStyle w:val="PlaceholderText"/>
            </w:rPr>
            <w:t>Click or tap here to enter text.</w:t>
          </w:r>
        </w:p>
      </w:sdtContent>
    </w:sdt>
    <w:p w14:paraId="0B154EC1" w14:textId="61E92CF1" w:rsidR="00A76F20" w:rsidRDefault="00A76F20" w:rsidP="002D4A55"/>
    <w:p w14:paraId="1C18FE3E" w14:textId="77777777" w:rsidR="003C21EB" w:rsidRDefault="003C21EB" w:rsidP="002D4A55"/>
    <w:p w14:paraId="2BD56A10" w14:textId="77777777" w:rsidR="00DD5B19" w:rsidRDefault="00DD5B19" w:rsidP="002D4A55"/>
    <w:tbl>
      <w:tblPr>
        <w:tblStyle w:val="TableGrid"/>
        <w:tblpPr w:leftFromText="180" w:rightFromText="180" w:vertAnchor="text" w:horzAnchor="margin" w:tblpY="-31"/>
        <w:tblW w:w="0" w:type="auto"/>
        <w:tblLook w:val="04A0" w:firstRow="1" w:lastRow="0" w:firstColumn="1" w:lastColumn="0" w:noHBand="0" w:noVBand="1"/>
      </w:tblPr>
      <w:tblGrid>
        <w:gridCol w:w="9350"/>
      </w:tblGrid>
      <w:tr w:rsidR="00DD5B19" w:rsidRPr="00843BD5" w14:paraId="4B34A787" w14:textId="77777777" w:rsidTr="00DD5B19">
        <w:trPr>
          <w:trHeight w:val="998"/>
        </w:trPr>
        <w:tc>
          <w:tcPr>
            <w:tcW w:w="9350" w:type="dxa"/>
            <w:shd w:val="clear" w:color="auto" w:fill="F2F2F2" w:themeFill="background1" w:themeFillShade="F2"/>
          </w:tcPr>
          <w:p w14:paraId="3810C1E2" w14:textId="77777777" w:rsidR="00DD5B19" w:rsidRDefault="00DD5B19" w:rsidP="00DD5B19">
            <w:pPr>
              <w:pStyle w:val="Heading3"/>
            </w:pPr>
            <w:r w:rsidRPr="00843BD5">
              <w:t>Additional Effective Practices</w:t>
            </w:r>
          </w:p>
          <w:p w14:paraId="75EAC92D" w14:textId="77777777" w:rsidR="00DD5B19" w:rsidRPr="00843BD5" w:rsidRDefault="00DD5B19" w:rsidP="00DD5B19">
            <w:pPr>
              <w:pStyle w:val="Heading4"/>
            </w:pPr>
            <w:r w:rsidRPr="00843BD5">
              <w:t xml:space="preserve">While not required, providers are encouraged to </w:t>
            </w:r>
            <w:r>
              <w:t>adopt</w:t>
            </w:r>
            <w:r w:rsidRPr="00843BD5">
              <w:t xml:space="preserve"> these practices beyond CAMICB’s standards to enhance program quality.</w:t>
            </w:r>
          </w:p>
        </w:tc>
      </w:tr>
      <w:tr w:rsidR="00DD5B19" w14:paraId="62F85C57" w14:textId="77777777" w:rsidTr="00DD5B19">
        <w:trPr>
          <w:trHeight w:val="953"/>
        </w:trPr>
        <w:tc>
          <w:tcPr>
            <w:tcW w:w="9350" w:type="dxa"/>
            <w:shd w:val="clear" w:color="auto" w:fill="F2F2F2" w:themeFill="background1" w:themeFillShade="F2"/>
          </w:tcPr>
          <w:p w14:paraId="3E0BBA56" w14:textId="77777777" w:rsidR="00DD5B19" w:rsidRDefault="00DD5B19" w:rsidP="00DD5B19">
            <w:pPr>
              <w:pStyle w:val="ListParagraph"/>
              <w:numPr>
                <w:ilvl w:val="2"/>
                <w:numId w:val="15"/>
              </w:numPr>
              <w:spacing w:line="276" w:lineRule="auto"/>
              <w:ind w:left="510" w:hanging="180"/>
            </w:pPr>
            <w:r w:rsidRPr="003C21EB">
              <w:t>Providers are encouraged to use varied learning assessment methods and provide detailed results reporting to enhance learner engagement and understanding. Methods of verifying satisfactory completion should be well-defined and executed effectively.</w:t>
            </w:r>
          </w:p>
        </w:tc>
      </w:tr>
    </w:tbl>
    <w:p w14:paraId="7149214E" w14:textId="77777777" w:rsidR="00B046D9" w:rsidRDefault="00B046D9" w:rsidP="002D4A55">
      <w:pPr>
        <w:sectPr w:rsidR="00B046D9" w:rsidSect="008F5240">
          <w:pgSz w:w="12240" w:h="15840"/>
          <w:pgMar w:top="1440" w:right="1440" w:bottom="1440" w:left="1440" w:header="720" w:footer="720" w:gutter="0"/>
          <w:cols w:space="720"/>
          <w:docGrid w:linePitch="360"/>
        </w:sectPr>
      </w:pPr>
    </w:p>
    <w:p w14:paraId="329D9B14" w14:textId="55E775D5" w:rsidR="00C9044D" w:rsidRDefault="00573DB3" w:rsidP="00C9044D">
      <w:pPr>
        <w:pStyle w:val="Heading1"/>
      </w:pPr>
      <w:r>
        <w:lastRenderedPageBreak/>
        <w:t xml:space="preserve">Requirement </w:t>
      </w:r>
      <w:r w:rsidR="00AB7077">
        <w:t>9</w:t>
      </w:r>
      <w:r w:rsidR="00C9044D">
        <w:t>: Course Evaluation</w:t>
      </w:r>
    </w:p>
    <w:p w14:paraId="57FAF310" w14:textId="6952747B" w:rsidR="00EA4A46" w:rsidRDefault="00EA4A46" w:rsidP="008335D2">
      <w:pPr>
        <w:spacing w:after="0"/>
      </w:pPr>
      <w:r w:rsidRPr="00A46144">
        <w:t xml:space="preserve">The </w:t>
      </w:r>
      <w:r>
        <w:t>p</w:t>
      </w:r>
      <w:r w:rsidRPr="00A46144">
        <w:t xml:space="preserve">rovider </w:t>
      </w:r>
      <w:r>
        <w:t>must</w:t>
      </w:r>
      <w:r w:rsidRPr="00A46144">
        <w:t xml:space="preserve"> have a process for evaluating all </w:t>
      </w:r>
      <w:r w:rsidR="003F4932">
        <w:t>course planning and delivery aspects</w:t>
      </w:r>
      <w:r w:rsidRPr="00A46144">
        <w:t xml:space="preserve">. This process is a critical tool for continuous improvement. The evaluation should </w:t>
      </w:r>
      <w:r>
        <w:t>cover</w:t>
      </w:r>
      <w:r w:rsidRPr="00A46144">
        <w:t xml:space="preserve"> logistical and instructional planning, instructor selection and preparation, course implementation, and </w:t>
      </w:r>
      <w:r>
        <w:t>achievement of</w:t>
      </w:r>
      <w:r w:rsidRPr="00A46144">
        <w:t xml:space="preserve"> intended learning outcomes. </w:t>
      </w:r>
    </w:p>
    <w:p w14:paraId="603A5D66" w14:textId="77777777" w:rsidR="008335D2" w:rsidRPr="00EA4A46" w:rsidRDefault="008335D2" w:rsidP="008335D2">
      <w:pPr>
        <w:spacing w:after="0"/>
      </w:pPr>
    </w:p>
    <w:tbl>
      <w:tblPr>
        <w:tblStyle w:val="TableGrid"/>
        <w:tblW w:w="0" w:type="auto"/>
        <w:tblLook w:val="04A0" w:firstRow="1" w:lastRow="0" w:firstColumn="1" w:lastColumn="0" w:noHBand="0" w:noVBand="1"/>
      </w:tblPr>
      <w:tblGrid>
        <w:gridCol w:w="495"/>
        <w:gridCol w:w="8855"/>
      </w:tblGrid>
      <w:tr w:rsidR="00B423E4" w14:paraId="21C9F221" w14:textId="77777777" w:rsidTr="00B423E4">
        <w:trPr>
          <w:trHeight w:val="1160"/>
        </w:trPr>
        <w:tc>
          <w:tcPr>
            <w:tcW w:w="355" w:type="dxa"/>
            <w:shd w:val="clear" w:color="auto" w:fill="ECF2FA"/>
          </w:tcPr>
          <w:p w14:paraId="7627784A" w14:textId="67DC7D1D" w:rsidR="00B423E4" w:rsidRDefault="00B423E4" w:rsidP="00C9044D">
            <w:r>
              <w:t>9.1</w:t>
            </w:r>
          </w:p>
        </w:tc>
        <w:tc>
          <w:tcPr>
            <w:tcW w:w="8995" w:type="dxa"/>
            <w:shd w:val="clear" w:color="auto" w:fill="ECF2FA"/>
          </w:tcPr>
          <w:p w14:paraId="29F7C83F" w14:textId="3C3DCC6C" w:rsidR="00B423E4" w:rsidRDefault="00B423E4" w:rsidP="00C9044D">
            <w:bookmarkStart w:id="1" w:name="_Hlk152252354"/>
            <w:r>
              <w:t xml:space="preserve">The provider must have a process </w:t>
            </w:r>
            <w:r w:rsidR="003F4932">
              <w:t>for evaluating the course. Evaluation procedures should review course planning and delivery processes, logistical and instructional planning, instructor selection and preparation</w:t>
            </w:r>
            <w:r w:rsidRPr="00BC53D1">
              <w:t>, course implementation, and achievement of intended learning outcomes.</w:t>
            </w:r>
            <w:bookmarkEnd w:id="1"/>
          </w:p>
        </w:tc>
      </w:tr>
    </w:tbl>
    <w:p w14:paraId="7150A2F7" w14:textId="77777777" w:rsidR="003F4932" w:rsidRDefault="005259D8" w:rsidP="00B423E4">
      <w:pPr>
        <w:spacing w:after="0"/>
      </w:pPr>
      <w:r w:rsidRPr="005259D8">
        <w:rPr>
          <w:i/>
          <w:iCs/>
        </w:rPr>
        <w:t>Describe your established course evaluation procedures.</w:t>
      </w:r>
    </w:p>
    <w:p w14:paraId="04B62249" w14:textId="1AF8448F" w:rsidR="00E974CB" w:rsidRDefault="00746B49" w:rsidP="00B423E4">
      <w:pPr>
        <w:spacing w:after="0"/>
        <w:rPr>
          <w:i/>
          <w:iCs/>
        </w:rPr>
      </w:pPr>
      <w:sdt>
        <w:sdtPr>
          <w:rPr>
            <w:i/>
            <w:iCs/>
          </w:rPr>
          <w:id w:val="-1236165517"/>
          <w:placeholder>
            <w:docPart w:val="DefaultPlaceholder_-1854013440"/>
          </w:placeholder>
          <w:showingPlcHdr/>
        </w:sdtPr>
        <w:sdtEndPr/>
        <w:sdtContent>
          <w:r w:rsidR="003F4932" w:rsidRPr="00D45EA7">
            <w:rPr>
              <w:rStyle w:val="PlaceholderText"/>
            </w:rPr>
            <w:t>Click or tap here to enter text.</w:t>
          </w:r>
        </w:sdtContent>
      </w:sdt>
      <w:r w:rsidR="000D44AF">
        <w:rPr>
          <w:i/>
          <w:iCs/>
        </w:rPr>
        <w:t xml:space="preserve"> </w:t>
      </w:r>
    </w:p>
    <w:p w14:paraId="5A1FCCEC" w14:textId="77777777" w:rsidR="00B423E4" w:rsidRDefault="00B423E4" w:rsidP="00B423E4">
      <w:pPr>
        <w:spacing w:after="0"/>
        <w:rPr>
          <w:i/>
          <w:iCs/>
        </w:rPr>
      </w:pPr>
    </w:p>
    <w:tbl>
      <w:tblPr>
        <w:tblStyle w:val="TableGrid"/>
        <w:tblW w:w="0" w:type="auto"/>
        <w:tblLook w:val="04A0" w:firstRow="1" w:lastRow="0" w:firstColumn="1" w:lastColumn="0" w:noHBand="0" w:noVBand="1"/>
      </w:tblPr>
      <w:tblGrid>
        <w:gridCol w:w="495"/>
        <w:gridCol w:w="8855"/>
      </w:tblGrid>
      <w:tr w:rsidR="00B423E4" w14:paraId="527E615A" w14:textId="77777777" w:rsidTr="00B423E4">
        <w:trPr>
          <w:trHeight w:val="341"/>
        </w:trPr>
        <w:tc>
          <w:tcPr>
            <w:tcW w:w="445" w:type="dxa"/>
            <w:shd w:val="clear" w:color="auto" w:fill="ECF2FA"/>
          </w:tcPr>
          <w:p w14:paraId="073F6215" w14:textId="23BB43A0" w:rsidR="00B423E4" w:rsidRDefault="00B423E4" w:rsidP="00E733E3">
            <w:r>
              <w:t>9.2</w:t>
            </w:r>
          </w:p>
        </w:tc>
        <w:tc>
          <w:tcPr>
            <w:tcW w:w="8905" w:type="dxa"/>
            <w:shd w:val="clear" w:color="auto" w:fill="ECF2FA"/>
          </w:tcPr>
          <w:p w14:paraId="7226B86F" w14:textId="441C2835" w:rsidR="00B423E4" w:rsidRDefault="00B423E4" w:rsidP="00E733E3">
            <w:r>
              <w:t>Course evaluation results should be continuously incorporated into program improvements.</w:t>
            </w:r>
          </w:p>
        </w:tc>
      </w:tr>
    </w:tbl>
    <w:p w14:paraId="0021A040" w14:textId="0AE34393" w:rsidR="0094011A" w:rsidRPr="0094011A" w:rsidRDefault="005259D8" w:rsidP="005259D8">
      <w:r w:rsidRPr="005259D8">
        <w:rPr>
          <w:i/>
          <w:iCs/>
        </w:rPr>
        <w:t>How do you incorporate the results of course evaluations into program improvements?</w:t>
      </w:r>
      <w:r w:rsidR="0094011A">
        <w:rPr>
          <w:i/>
          <w:iCs/>
        </w:rPr>
        <w:br/>
      </w:r>
      <w:sdt>
        <w:sdtPr>
          <w:id w:val="-1479837448"/>
          <w:placeholder>
            <w:docPart w:val="DefaultPlaceholder_-1854013440"/>
          </w:placeholder>
          <w:showingPlcHdr/>
        </w:sdtPr>
        <w:sdtEndPr/>
        <w:sdtContent>
          <w:r w:rsidR="0094011A" w:rsidRPr="00D45EA7">
            <w:rPr>
              <w:rStyle w:val="PlaceholderText"/>
            </w:rPr>
            <w:t>Click or tap here to enter text.</w:t>
          </w:r>
        </w:sdtContent>
      </w:sdt>
    </w:p>
    <w:p w14:paraId="177D5C62" w14:textId="77777777" w:rsidR="00B423E4" w:rsidRDefault="00B423E4" w:rsidP="005259D8">
      <w:pPr>
        <w:rPr>
          <w:i/>
          <w:iCs/>
        </w:rPr>
      </w:pPr>
    </w:p>
    <w:p w14:paraId="121C2851" w14:textId="77777777" w:rsidR="003C21EB" w:rsidRDefault="003C21EB" w:rsidP="005259D8">
      <w:pPr>
        <w:rPr>
          <w:i/>
          <w:iCs/>
        </w:rPr>
      </w:pPr>
    </w:p>
    <w:p w14:paraId="01CF0861" w14:textId="77777777" w:rsidR="003C21EB" w:rsidRDefault="003C21EB" w:rsidP="005259D8">
      <w:pPr>
        <w:rPr>
          <w:i/>
          <w:iCs/>
        </w:rPr>
      </w:pPr>
    </w:p>
    <w:p w14:paraId="691C610B" w14:textId="77777777" w:rsidR="0094011A" w:rsidRDefault="0094011A" w:rsidP="005259D8">
      <w:pPr>
        <w:rPr>
          <w:i/>
          <w:iCs/>
        </w:rPr>
      </w:pPr>
    </w:p>
    <w:p w14:paraId="3D391D55" w14:textId="77777777" w:rsidR="003C21EB" w:rsidRDefault="003C21EB" w:rsidP="005259D8">
      <w:pPr>
        <w:rPr>
          <w:i/>
          <w:iCs/>
        </w:rPr>
      </w:pPr>
    </w:p>
    <w:p w14:paraId="20A7D41E" w14:textId="77777777" w:rsidR="003C21EB" w:rsidRDefault="003C21EB" w:rsidP="005259D8">
      <w:pPr>
        <w:rPr>
          <w:i/>
          <w:iCs/>
        </w:rPr>
      </w:pPr>
    </w:p>
    <w:p w14:paraId="35EE3694" w14:textId="77777777" w:rsidR="007724A1" w:rsidRDefault="007724A1" w:rsidP="005259D8">
      <w:pPr>
        <w:rPr>
          <w:i/>
          <w:iCs/>
        </w:rPr>
      </w:pPr>
    </w:p>
    <w:p w14:paraId="3A17989C" w14:textId="77777777" w:rsidR="003C21EB" w:rsidRDefault="003C21EB" w:rsidP="005259D8">
      <w:pPr>
        <w:rPr>
          <w:i/>
          <w:iCs/>
        </w:rPr>
      </w:pPr>
    </w:p>
    <w:p w14:paraId="46DAA650" w14:textId="77777777" w:rsidR="003C21EB" w:rsidRDefault="003C21EB" w:rsidP="005259D8">
      <w:pPr>
        <w:rPr>
          <w:i/>
          <w:iCs/>
        </w:rPr>
      </w:pPr>
    </w:p>
    <w:tbl>
      <w:tblPr>
        <w:tblStyle w:val="TableGrid"/>
        <w:tblW w:w="0" w:type="auto"/>
        <w:tblLook w:val="04A0" w:firstRow="1" w:lastRow="0" w:firstColumn="1" w:lastColumn="0" w:noHBand="0" w:noVBand="1"/>
      </w:tblPr>
      <w:tblGrid>
        <w:gridCol w:w="9350"/>
      </w:tblGrid>
      <w:tr w:rsidR="003C21EB" w:rsidRPr="00843BD5" w14:paraId="38C36C71" w14:textId="77777777" w:rsidTr="004A4B30">
        <w:trPr>
          <w:trHeight w:val="998"/>
        </w:trPr>
        <w:tc>
          <w:tcPr>
            <w:tcW w:w="9350" w:type="dxa"/>
            <w:shd w:val="clear" w:color="auto" w:fill="F2F2F2" w:themeFill="background1" w:themeFillShade="F2"/>
          </w:tcPr>
          <w:p w14:paraId="1701E2C1" w14:textId="77777777" w:rsidR="003C21EB" w:rsidRDefault="003C21EB" w:rsidP="004A4B30">
            <w:pPr>
              <w:pStyle w:val="Heading3"/>
            </w:pPr>
            <w:r w:rsidRPr="00843BD5">
              <w:t>Additional Effective Practices</w:t>
            </w:r>
          </w:p>
          <w:p w14:paraId="3E64B6BE" w14:textId="394891C1" w:rsidR="003C21EB" w:rsidRPr="00843BD5" w:rsidRDefault="003C21EB" w:rsidP="004A4B30">
            <w:pPr>
              <w:pStyle w:val="Heading4"/>
            </w:pPr>
            <w:r w:rsidRPr="00843BD5">
              <w:t xml:space="preserve">While not required, providers are encouraged to </w:t>
            </w:r>
            <w:r w:rsidR="0094011A">
              <w:t>adopt</w:t>
            </w:r>
            <w:r w:rsidRPr="00843BD5">
              <w:t xml:space="preserve"> these practices beyond CAMICB’s standards to enhance program quality.</w:t>
            </w:r>
          </w:p>
        </w:tc>
      </w:tr>
      <w:tr w:rsidR="003C21EB" w14:paraId="4D43EBD8" w14:textId="77777777" w:rsidTr="003C21EB">
        <w:trPr>
          <w:trHeight w:val="1268"/>
        </w:trPr>
        <w:tc>
          <w:tcPr>
            <w:tcW w:w="9350" w:type="dxa"/>
            <w:shd w:val="clear" w:color="auto" w:fill="F2F2F2" w:themeFill="background1" w:themeFillShade="F2"/>
          </w:tcPr>
          <w:p w14:paraId="2AE336BC" w14:textId="77777777" w:rsidR="003C21EB" w:rsidRDefault="003C21EB" w:rsidP="003C21EB">
            <w:pPr>
              <w:pStyle w:val="ListParagraph"/>
              <w:numPr>
                <w:ilvl w:val="2"/>
                <w:numId w:val="15"/>
              </w:numPr>
              <w:spacing w:line="276" w:lineRule="auto"/>
              <w:ind w:left="510" w:hanging="180"/>
            </w:pPr>
            <w:r>
              <w:t>The provider uses a tracking system incorporating past evaluations to monitor program improvements.</w:t>
            </w:r>
          </w:p>
          <w:p w14:paraId="3C240796" w14:textId="1A43A549" w:rsidR="003C21EB" w:rsidRDefault="003C21EB" w:rsidP="003C21EB">
            <w:pPr>
              <w:pStyle w:val="ListParagraph"/>
              <w:numPr>
                <w:ilvl w:val="2"/>
                <w:numId w:val="15"/>
              </w:numPr>
              <w:spacing w:line="276" w:lineRule="auto"/>
              <w:ind w:left="510" w:hanging="180"/>
            </w:pPr>
            <w:r>
              <w:t>A substantial commitment to the process of evaluation is evident. The provider uses varied evaluation techniques.</w:t>
            </w:r>
          </w:p>
        </w:tc>
      </w:tr>
    </w:tbl>
    <w:p w14:paraId="672D8E6C" w14:textId="77777777" w:rsidR="00C323ED" w:rsidRDefault="00C323ED">
      <w:pPr>
        <w:rPr>
          <w:i/>
          <w:iCs/>
        </w:rPr>
        <w:sectPr w:rsidR="00C323ED" w:rsidSect="008F5240">
          <w:pgSz w:w="12240" w:h="15840"/>
          <w:pgMar w:top="1440" w:right="1440" w:bottom="1440" w:left="1440" w:header="720" w:footer="720" w:gutter="0"/>
          <w:cols w:space="720"/>
          <w:docGrid w:linePitch="360"/>
        </w:sectPr>
      </w:pPr>
    </w:p>
    <w:p w14:paraId="33E80B3F" w14:textId="65191729" w:rsidR="00AB7077" w:rsidRDefault="00573DB3" w:rsidP="00AB7077">
      <w:pPr>
        <w:pStyle w:val="Heading1"/>
      </w:pPr>
      <w:r>
        <w:lastRenderedPageBreak/>
        <w:t xml:space="preserve">Requirement </w:t>
      </w:r>
      <w:r w:rsidR="00AB7077">
        <w:t>10</w:t>
      </w:r>
      <w:r>
        <w:t>:</w:t>
      </w:r>
      <w:r w:rsidR="00AB7077">
        <w:t xml:space="preserve"> Course Content</w:t>
      </w:r>
      <w:r w:rsidR="007E6133">
        <w:t xml:space="preserve"> Alignment </w:t>
      </w:r>
    </w:p>
    <w:p w14:paraId="5146B8C8" w14:textId="172E4EB4" w:rsidR="001E77CA" w:rsidRDefault="001E77CA" w:rsidP="00576FAC">
      <w:r>
        <w:t xml:space="preserve">The course curriculum must be designed to provide a comprehensive overview of the essential knowledge and skills required for professional community association managers. The curriculum must align with the knowledge domains of the CMCA exam: Contracting, Financial Management, Governance and Compliance, Meetings and Events, Property Maintenance, and Risk Management. </w:t>
      </w:r>
      <w:r w:rsidR="009003D9">
        <w:t>This alignment ensures that the course content remains relevant and effectively prepares candidates for the CMCA examination.</w:t>
      </w:r>
      <w:r w:rsidR="000A35BA">
        <w:t xml:space="preserve"> Providers must provide a copy of the participant course materials</w:t>
      </w:r>
      <w:r w:rsidR="00391675">
        <w:t>, a course outline, and a complete description of how the course effectively covers the exam</w:t>
      </w:r>
      <w:r w:rsidR="009220D6">
        <w:t>’s knowledge domains</w:t>
      </w:r>
      <w:r w:rsidR="00391675">
        <w:t xml:space="preserve">. </w:t>
      </w:r>
    </w:p>
    <w:p w14:paraId="1A231E10" w14:textId="71EA3212" w:rsidR="00576FAC" w:rsidRDefault="00576FAC" w:rsidP="005C0796">
      <w:pPr>
        <w:spacing w:after="0"/>
      </w:pPr>
      <w:r w:rsidRPr="00576FAC">
        <w:t xml:space="preserve">This requirement is assessed using the Rubric for CMCA Course Alignment, </w:t>
      </w:r>
      <w:r w:rsidR="002332D0">
        <w:t>which is included as an appendix at the end of this application. The Rubric provides</w:t>
      </w:r>
      <w:r w:rsidRPr="00576FAC">
        <w:t xml:space="preserve"> further details on the alignment specifications and review process.</w:t>
      </w:r>
    </w:p>
    <w:p w14:paraId="4F0E33D5" w14:textId="77777777" w:rsidR="005C0796" w:rsidRPr="001E77CA" w:rsidRDefault="005C0796" w:rsidP="005C0796">
      <w:pPr>
        <w:spacing w:after="0"/>
      </w:pPr>
    </w:p>
    <w:tbl>
      <w:tblPr>
        <w:tblStyle w:val="TableGrid"/>
        <w:tblW w:w="0" w:type="auto"/>
        <w:tblLook w:val="04A0" w:firstRow="1" w:lastRow="0" w:firstColumn="1" w:lastColumn="0" w:noHBand="0" w:noVBand="1"/>
      </w:tblPr>
      <w:tblGrid>
        <w:gridCol w:w="607"/>
        <w:gridCol w:w="8743"/>
      </w:tblGrid>
      <w:tr w:rsidR="005C0796" w14:paraId="035746BE" w14:textId="77777777" w:rsidTr="005C0796">
        <w:trPr>
          <w:trHeight w:val="359"/>
        </w:trPr>
        <w:tc>
          <w:tcPr>
            <w:tcW w:w="535" w:type="dxa"/>
            <w:shd w:val="clear" w:color="auto" w:fill="ECF2FA"/>
          </w:tcPr>
          <w:p w14:paraId="036DFD91" w14:textId="4B552815" w:rsidR="005C0796" w:rsidRDefault="005C0796" w:rsidP="00892F60">
            <w:bookmarkStart w:id="2" w:name="_Hlk114751305"/>
            <w:r>
              <w:t>10.1</w:t>
            </w:r>
          </w:p>
        </w:tc>
        <w:tc>
          <w:tcPr>
            <w:tcW w:w="8815" w:type="dxa"/>
            <w:shd w:val="clear" w:color="auto" w:fill="ECF2FA"/>
          </w:tcPr>
          <w:p w14:paraId="68042DA0" w14:textId="7C355A66" w:rsidR="005C0796" w:rsidRDefault="005C0796" w:rsidP="00892F60">
            <w:r w:rsidRPr="00595E07">
              <w:t xml:space="preserve">The </w:t>
            </w:r>
            <w:r>
              <w:t xml:space="preserve">course content must align with the CMCA content outline. </w:t>
            </w:r>
          </w:p>
        </w:tc>
      </w:tr>
    </w:tbl>
    <w:p w14:paraId="4641A4EA" w14:textId="194B0FD8" w:rsidR="00AB7077" w:rsidRDefault="00AB7077" w:rsidP="00AB7077">
      <w:pPr>
        <w:rPr>
          <w:i/>
          <w:iCs/>
        </w:rPr>
      </w:pPr>
      <w:r>
        <w:rPr>
          <w:i/>
          <w:iCs/>
        </w:rPr>
        <w:t xml:space="preserve">Please </w:t>
      </w:r>
      <w:r w:rsidR="003E230F">
        <w:rPr>
          <w:i/>
          <w:iCs/>
        </w:rPr>
        <w:t>submit</w:t>
      </w:r>
      <w:r>
        <w:rPr>
          <w:i/>
          <w:iCs/>
        </w:rPr>
        <w:t xml:space="preserve"> course materials</w:t>
      </w:r>
      <w:r w:rsidR="0045721B">
        <w:rPr>
          <w:i/>
          <w:iCs/>
        </w:rPr>
        <w:t xml:space="preserve"> as exhibits</w:t>
      </w:r>
      <w:r w:rsidR="00F1277D">
        <w:rPr>
          <w:i/>
          <w:iCs/>
        </w:rPr>
        <w:t>. Copies of the participant course materials,</w:t>
      </w:r>
      <w:r w:rsidR="0026383E">
        <w:rPr>
          <w:i/>
          <w:iCs/>
        </w:rPr>
        <w:t xml:space="preserve"> outline, and description of how the course effectively covers the knowledge domains must be submitted.</w:t>
      </w:r>
      <w:r w:rsidR="00CC4B64">
        <w:rPr>
          <w:i/>
          <w:iCs/>
        </w:rPr>
        <w:t xml:space="preserve"> </w:t>
      </w:r>
      <w:r w:rsidR="00F64C3E">
        <w:rPr>
          <w:i/>
          <w:iCs/>
        </w:rPr>
        <w:t>Participant course materials include</w:t>
      </w:r>
      <w:r w:rsidR="007D50D7">
        <w:rPr>
          <w:i/>
          <w:iCs/>
        </w:rPr>
        <w:t xml:space="preserve"> handbooks, worksheets, and presentation slides. </w:t>
      </w:r>
      <w:r w:rsidR="00CC4B64">
        <w:rPr>
          <w:i/>
          <w:iCs/>
        </w:rPr>
        <w:t>Providers are encouraged to submit additional materials demonstrating the course’s content</w:t>
      </w:r>
      <w:r>
        <w:rPr>
          <w:i/>
          <w:iCs/>
        </w:rPr>
        <w:t xml:space="preserve"> (e.</w:t>
      </w:r>
      <w:r w:rsidR="002B2C2C">
        <w:rPr>
          <w:i/>
          <w:iCs/>
        </w:rPr>
        <w:t>g., assessment form,</w:t>
      </w:r>
      <w:r>
        <w:rPr>
          <w:i/>
          <w:iCs/>
        </w:rPr>
        <w:t xml:space="preserve"> reading materials, resource lists, etc.). </w:t>
      </w:r>
      <w:bookmarkEnd w:id="2"/>
      <w:r>
        <w:rPr>
          <w:i/>
          <w:iCs/>
        </w:rPr>
        <w:t xml:space="preserve"> </w:t>
      </w:r>
    </w:p>
    <w:p w14:paraId="6EF655EF" w14:textId="77777777" w:rsidR="00C323ED" w:rsidRDefault="00C323ED">
      <w:pPr>
        <w:rPr>
          <w:i/>
          <w:iCs/>
        </w:rPr>
        <w:sectPr w:rsidR="00C323ED" w:rsidSect="008F5240">
          <w:pgSz w:w="12240" w:h="15840"/>
          <w:pgMar w:top="1440" w:right="1440" w:bottom="1440" w:left="1440" w:header="720" w:footer="720" w:gutter="0"/>
          <w:cols w:space="720"/>
          <w:docGrid w:linePitch="360"/>
        </w:sectPr>
      </w:pPr>
    </w:p>
    <w:p w14:paraId="421D42A3" w14:textId="77777777" w:rsidR="007151E8" w:rsidRPr="00746674" w:rsidRDefault="007151E8" w:rsidP="007151E8">
      <w:pPr>
        <w:pStyle w:val="Title"/>
        <w:rPr>
          <w:sz w:val="48"/>
          <w:szCs w:val="48"/>
        </w:rPr>
      </w:pPr>
      <w:r w:rsidRPr="00746674">
        <w:rPr>
          <w:sz w:val="48"/>
          <w:szCs w:val="48"/>
        </w:rPr>
        <w:lastRenderedPageBreak/>
        <w:t>Appendix: Rubric for CMCA Course Alignment</w:t>
      </w:r>
    </w:p>
    <w:p w14:paraId="1566EB9B" w14:textId="77777777" w:rsidR="00746674" w:rsidRDefault="00746674" w:rsidP="00746674">
      <w:pPr>
        <w:spacing w:after="0"/>
      </w:pPr>
    </w:p>
    <w:p w14:paraId="42719544" w14:textId="4AA1BF66" w:rsidR="007151E8" w:rsidRPr="00061629" w:rsidRDefault="007151E8" w:rsidP="007151E8">
      <w:r w:rsidRPr="00061629">
        <w:t xml:space="preserve">A course </w:t>
      </w:r>
      <w:r w:rsidR="005C76E5">
        <w:t xml:space="preserve">approved for CMCA prerequisite status </w:t>
      </w:r>
      <w:r w:rsidRPr="00061629">
        <w:t xml:space="preserve">must align with the CMCA content outline. </w:t>
      </w:r>
    </w:p>
    <w:p w14:paraId="0D091DBE" w14:textId="779D6CE7" w:rsidR="007151E8" w:rsidRDefault="007151E8" w:rsidP="007151E8">
      <w:r w:rsidRPr="00061629">
        <w:t xml:space="preserve">The content outline reflects the fundamental knowledge that early-career community association managers need to possess and the tasks they are expected to execute proficiently. </w:t>
      </w:r>
      <w:r w:rsidR="00046F24">
        <w:t>It</w:t>
      </w:r>
      <w:r w:rsidRPr="00061629">
        <w:t xml:space="preserve"> serves as a roadmap for the subjects that must be covered in a CAMICB-approved prerequisite course. </w:t>
      </w:r>
    </w:p>
    <w:p w14:paraId="3BA84FCC" w14:textId="4275482A" w:rsidR="00CC3226" w:rsidRPr="00061629" w:rsidRDefault="00CC3226" w:rsidP="007151E8">
      <w:r w:rsidRPr="00061629">
        <w:t xml:space="preserve">The content outline includes six knowledge domains that represent the </w:t>
      </w:r>
      <w:r w:rsidR="00E15748">
        <w:t>primary</w:t>
      </w:r>
      <w:r w:rsidRPr="00061629">
        <w:t xml:space="preserve"> aspects of a community association manager's role: Governance &amp; Compliance, Financial Management, Meetings &amp; Events, Risk Management, Property Maintenance, and Contracting. </w:t>
      </w:r>
      <w:r w:rsidR="00E2452D">
        <w:t xml:space="preserve">The full content outline is </w:t>
      </w:r>
      <w:r w:rsidR="00DE7FBC">
        <w:t xml:space="preserve">included for review at the end of this document. </w:t>
      </w:r>
      <w:r w:rsidRPr="00061629">
        <w:t xml:space="preserve"> </w:t>
      </w:r>
    </w:p>
    <w:p w14:paraId="31C6C4C9" w14:textId="7163A0CC" w:rsidR="007151E8" w:rsidRPr="00061629" w:rsidRDefault="007151E8" w:rsidP="007151E8">
      <w:r w:rsidRPr="00061629">
        <w:t>The content outline is updated approximately every five years based on the findings of a job analysis study. Courses submitted for prerequisite status will be evaluated against the 2024 content outline</w:t>
      </w:r>
      <w:r w:rsidR="00993139">
        <w:t>. L</w:t>
      </w:r>
      <w:r w:rsidRPr="00061629">
        <w:t xml:space="preserve">earn more about the job analysis and the 2024 updates to the content outline </w:t>
      </w:r>
      <w:hyperlink r:id="rId13" w:history="1">
        <w:r w:rsidRPr="00993139">
          <w:rPr>
            <w:rStyle w:val="Hyperlink"/>
          </w:rPr>
          <w:t>here</w:t>
        </w:r>
      </w:hyperlink>
      <w:r w:rsidRPr="00061629">
        <w:t xml:space="preserve">. </w:t>
      </w:r>
    </w:p>
    <w:p w14:paraId="317826CA" w14:textId="5662947B" w:rsidR="007151E8" w:rsidRPr="00061629" w:rsidRDefault="000210B6" w:rsidP="007151E8">
      <w:pPr>
        <w:pStyle w:val="Heading1"/>
      </w:pPr>
      <w:r>
        <w:t>Course</w:t>
      </w:r>
      <w:r w:rsidR="007151E8" w:rsidRPr="00061629">
        <w:t xml:space="preserve"> Assessment </w:t>
      </w:r>
      <w:r w:rsidR="007151E8" w:rsidRPr="00603A52">
        <w:t>Criteria</w:t>
      </w:r>
      <w:r w:rsidR="007151E8" w:rsidRPr="00061629">
        <w:t xml:space="preserve"> </w:t>
      </w:r>
    </w:p>
    <w:p w14:paraId="6974F011" w14:textId="1191ADAB" w:rsidR="007151E8" w:rsidRPr="00061629" w:rsidRDefault="007151E8" w:rsidP="007151E8">
      <w:r w:rsidRPr="00061629">
        <w:t xml:space="preserve">The </w:t>
      </w:r>
      <w:r w:rsidR="00993139">
        <w:t xml:space="preserve">course </w:t>
      </w:r>
      <w:r w:rsidRPr="00061629">
        <w:t xml:space="preserve">provider must demonstrate that the course aligns with the CMCA content outline. </w:t>
      </w:r>
      <w:r w:rsidRPr="00061629">
        <w:rPr>
          <w:i/>
          <w:iCs/>
        </w:rPr>
        <w:t>Alignment</w:t>
      </w:r>
      <w:r w:rsidRPr="00061629">
        <w:t xml:space="preserve"> means that there is enough agreement between the course and exam content that a student who completes the course will be adequately prepared to demonstrate proficiency in the subject matter assessed by the CMCA exam.  </w:t>
      </w:r>
    </w:p>
    <w:p w14:paraId="462AB077" w14:textId="791DD79A" w:rsidR="007151E8" w:rsidRPr="00061629" w:rsidRDefault="007151E8" w:rsidP="007151E8">
      <w:r w:rsidRPr="00061629">
        <w:t>Course alignment is evaluated by CAMICB’s Prerequisite Education Committee, a panel of 3-5 volunteer subject matter experts</w:t>
      </w:r>
      <w:r w:rsidR="004F565E">
        <w:t xml:space="preserve"> from the community association management field</w:t>
      </w:r>
      <w:r w:rsidRPr="00061629">
        <w:t xml:space="preserve">. </w:t>
      </w:r>
      <w:r w:rsidRPr="00E73F3F">
        <w:t>Assessors review the submitted course materials and assign scores. The</w:t>
      </w:r>
      <w:r w:rsidRPr="00061629">
        <w:t xml:space="preserve"> course is assessed based on two criteria. </w:t>
      </w:r>
    </w:p>
    <w:p w14:paraId="1D6A1393" w14:textId="054BE7ED" w:rsidR="00F470E8" w:rsidRDefault="007151E8" w:rsidP="0069167C">
      <w:pPr>
        <w:pStyle w:val="ListParagraph"/>
        <w:numPr>
          <w:ilvl w:val="0"/>
          <w:numId w:val="24"/>
        </w:numPr>
        <w:spacing w:after="160" w:line="259" w:lineRule="auto"/>
      </w:pPr>
      <w:r w:rsidRPr="00061629">
        <w:rPr>
          <w:b/>
          <w:bCs/>
        </w:rPr>
        <w:t>The Domain-Level Score</w:t>
      </w:r>
      <w:r w:rsidRPr="00061629">
        <w:t xml:space="preserve"> assesses how well the course covers each </w:t>
      </w:r>
      <w:r w:rsidR="00592DA4">
        <w:t xml:space="preserve">individual </w:t>
      </w:r>
      <w:r w:rsidRPr="00061629">
        <w:t xml:space="preserve">knowledge domain. </w:t>
      </w:r>
      <w:r w:rsidR="00737DA5">
        <w:t>A</w:t>
      </w:r>
      <w:r w:rsidRPr="00061629">
        <w:t>ssessors assign</w:t>
      </w:r>
      <w:r w:rsidR="00737DA5">
        <w:t xml:space="preserve"> each domain</w:t>
      </w:r>
      <w:r w:rsidRPr="00061629">
        <w:t xml:space="preserve"> a score of 0-4, with 0 indicating that none of the domain content is covered in the course and 4 indicating that the content is covered extensively.</w:t>
      </w:r>
      <w:r w:rsidR="0069167C">
        <w:t xml:space="preserve"> </w:t>
      </w:r>
    </w:p>
    <w:p w14:paraId="6E194D6B" w14:textId="35446F2E" w:rsidR="007151E8" w:rsidRPr="00061629" w:rsidRDefault="007151E8" w:rsidP="007151E8">
      <w:pPr>
        <w:pStyle w:val="ListParagraph"/>
        <w:numPr>
          <w:ilvl w:val="1"/>
          <w:numId w:val="24"/>
        </w:numPr>
        <w:spacing w:after="160" w:line="259" w:lineRule="auto"/>
      </w:pPr>
      <w:r w:rsidRPr="00061629">
        <w:t>The course must score at least a 1 in each domain</w:t>
      </w:r>
      <w:r w:rsidR="00035413">
        <w:t xml:space="preserve">, meaning that </w:t>
      </w:r>
      <w:r w:rsidRPr="00061629">
        <w:t>each domain receives at least minimal coverage</w:t>
      </w:r>
      <w:r w:rsidR="00035413">
        <w:t xml:space="preserve">. This </w:t>
      </w:r>
      <w:r w:rsidRPr="00061629">
        <w:t>ensures that candidates receive exposure to all basic concepts, allowing them to build upon this foundation through independent study.</w:t>
      </w:r>
    </w:p>
    <w:p w14:paraId="5BBBE167" w14:textId="2D21EDC6" w:rsidR="007151E8" w:rsidRPr="00061629" w:rsidRDefault="007151E8" w:rsidP="007151E8">
      <w:pPr>
        <w:pStyle w:val="ListParagraph"/>
        <w:numPr>
          <w:ilvl w:val="0"/>
          <w:numId w:val="24"/>
        </w:numPr>
        <w:spacing w:after="160" w:line="259" w:lineRule="auto"/>
      </w:pPr>
      <w:r w:rsidRPr="00061629">
        <w:rPr>
          <w:b/>
          <w:bCs/>
        </w:rPr>
        <w:t>The Overall Course Score</w:t>
      </w:r>
      <w:r w:rsidRPr="00061629">
        <w:t xml:space="preserve"> is a comprehensive measure of the alignment between the course and the CMCA content outline, calculated by averaging the scores assigned to the </w:t>
      </w:r>
      <w:r w:rsidR="00E33ABD">
        <w:t>six</w:t>
      </w:r>
      <w:r w:rsidRPr="00061629">
        <w:t xml:space="preserve"> domains. </w:t>
      </w:r>
    </w:p>
    <w:p w14:paraId="51C31D09" w14:textId="7B967EB4" w:rsidR="007151E8" w:rsidRPr="00061629" w:rsidRDefault="007151E8" w:rsidP="007151E8">
      <w:pPr>
        <w:pStyle w:val="ListParagraph"/>
        <w:numPr>
          <w:ilvl w:val="1"/>
          <w:numId w:val="24"/>
        </w:numPr>
        <w:spacing w:after="160" w:line="259" w:lineRule="auto"/>
      </w:pPr>
      <w:r w:rsidRPr="00061629">
        <w:t xml:space="preserve">The overall minimum requirement is an average score of 2. By averaging the scores of individual domains to determine the overall course score, variations in coverage across different domains are accounted for. While some domains may </w:t>
      </w:r>
      <w:r w:rsidR="009A5232">
        <w:t>have</w:t>
      </w:r>
      <w:r w:rsidRPr="00061629">
        <w:t xml:space="preserve"> higher coverage than others, achieving an overall average score of 2 indicates that the course provides a breadth of content that serves as a baseline level of preparation for the exam. </w:t>
      </w:r>
    </w:p>
    <w:p w14:paraId="54B417A3" w14:textId="2BABBC7A" w:rsidR="0002638F" w:rsidRDefault="0002638F" w:rsidP="0002638F">
      <w:r w:rsidRPr="00061629">
        <w:t xml:space="preserve">Assessors may also provide optional written feedback to </w:t>
      </w:r>
      <w:r>
        <w:t>recommend improvements</w:t>
      </w:r>
      <w:r w:rsidRPr="00061629">
        <w:t xml:space="preserve"> or suggest areas where greater alignment would be beneficial. The written feedback is for the provider</w:t>
      </w:r>
      <w:r>
        <w:t>’</w:t>
      </w:r>
      <w:r w:rsidRPr="00061629">
        <w:t xml:space="preserve">s benefit and is not used to make an eligibility decision about the course. </w:t>
      </w:r>
    </w:p>
    <w:p w14:paraId="50B247CA" w14:textId="77777777" w:rsidR="00DC6AFB" w:rsidRDefault="002B272E" w:rsidP="007151E8">
      <w:r>
        <w:lastRenderedPageBreak/>
        <w:t>P</w:t>
      </w:r>
      <w:r w:rsidR="007151E8" w:rsidRPr="00061629">
        <w:t xml:space="preserve">rerequisite courses are not </w:t>
      </w:r>
      <w:r>
        <w:t>required</w:t>
      </w:r>
      <w:r w:rsidR="007151E8" w:rsidRPr="00061629">
        <w:t xml:space="preserve"> to cover every </w:t>
      </w:r>
      <w:r w:rsidR="00715A8E">
        <w:t>detail</w:t>
      </w:r>
      <w:r w:rsidR="007151E8" w:rsidRPr="00061629">
        <w:t xml:space="preserve"> of the </w:t>
      </w:r>
      <w:r w:rsidR="009A5232">
        <w:t xml:space="preserve">CMCA </w:t>
      </w:r>
      <w:r w:rsidR="007151E8" w:rsidRPr="00061629">
        <w:t xml:space="preserve">content outline. </w:t>
      </w:r>
      <w:r w:rsidR="009A5232">
        <w:t>C</w:t>
      </w:r>
      <w:r w:rsidR="007151E8" w:rsidRPr="00061629">
        <w:t xml:space="preserve">andidates are expected to supplement their exam preparation with additional resources outside of the prerequisite course. As such, the prerequisite course is only required to provide a baseline level of knowledge that the candidate can build upon independently. </w:t>
      </w:r>
    </w:p>
    <w:p w14:paraId="3F218DAD" w14:textId="424FDC10" w:rsidR="007151E8" w:rsidRPr="00061629" w:rsidRDefault="007151E8" w:rsidP="007151E8">
      <w:r w:rsidRPr="00061629">
        <w:t>Course providers</w:t>
      </w:r>
      <w:r w:rsidR="00BC5B81">
        <w:t xml:space="preserve"> are encouraged</w:t>
      </w:r>
      <w:r w:rsidRPr="00061629">
        <w:t xml:space="preserve"> to structure and present their content as they see fit, so long as </w:t>
      </w:r>
      <w:r w:rsidR="00C60428">
        <w:t>they adequately cover the topics that CAMICB has determined to be fundamental to the success of early-career managers</w:t>
      </w:r>
      <w:r w:rsidRPr="00061629">
        <w:t xml:space="preserve">. </w:t>
      </w:r>
    </w:p>
    <w:p w14:paraId="0544EDD2" w14:textId="77777777" w:rsidR="007151E8" w:rsidRPr="00061629" w:rsidRDefault="007151E8" w:rsidP="007151E8">
      <w:pPr>
        <w:pStyle w:val="Heading1"/>
      </w:pPr>
      <w:r w:rsidRPr="00061629">
        <w:t xml:space="preserve">Assessment Rubric for </w:t>
      </w:r>
      <w:r w:rsidRPr="00603A52">
        <w:t>Course</w:t>
      </w:r>
      <w:r w:rsidRPr="00061629">
        <w:t xml:space="preserve"> Alignment</w:t>
      </w:r>
    </w:p>
    <w:tbl>
      <w:tblPr>
        <w:tblStyle w:val="TableGrid"/>
        <w:tblW w:w="0" w:type="auto"/>
        <w:tblLook w:val="04A0" w:firstRow="1" w:lastRow="0" w:firstColumn="1" w:lastColumn="0" w:noHBand="0" w:noVBand="1"/>
      </w:tblPr>
      <w:tblGrid>
        <w:gridCol w:w="805"/>
        <w:gridCol w:w="5428"/>
        <w:gridCol w:w="3117"/>
      </w:tblGrid>
      <w:tr w:rsidR="007151E8" w:rsidRPr="00061629" w14:paraId="13565FFC" w14:textId="77777777" w:rsidTr="00892F60">
        <w:tc>
          <w:tcPr>
            <w:tcW w:w="805" w:type="dxa"/>
          </w:tcPr>
          <w:p w14:paraId="4064437E" w14:textId="77777777" w:rsidR="007151E8" w:rsidRPr="00061629" w:rsidRDefault="007151E8" w:rsidP="00892F60">
            <w:pPr>
              <w:rPr>
                <w:b/>
                <w:bCs/>
              </w:rPr>
            </w:pPr>
            <w:r w:rsidRPr="00061629">
              <w:rPr>
                <w:b/>
                <w:bCs/>
              </w:rPr>
              <w:t>Score</w:t>
            </w:r>
          </w:p>
        </w:tc>
        <w:tc>
          <w:tcPr>
            <w:tcW w:w="5428" w:type="dxa"/>
          </w:tcPr>
          <w:p w14:paraId="617E0712" w14:textId="77777777" w:rsidR="007151E8" w:rsidRPr="00061629" w:rsidRDefault="007151E8" w:rsidP="00892F60">
            <w:pPr>
              <w:rPr>
                <w:b/>
                <w:bCs/>
              </w:rPr>
            </w:pPr>
            <w:r w:rsidRPr="00061629">
              <w:rPr>
                <w:b/>
                <w:bCs/>
              </w:rPr>
              <w:t>Description</w:t>
            </w:r>
          </w:p>
        </w:tc>
        <w:tc>
          <w:tcPr>
            <w:tcW w:w="3117" w:type="dxa"/>
          </w:tcPr>
          <w:p w14:paraId="3AE236A0" w14:textId="77777777" w:rsidR="007151E8" w:rsidRPr="00061629" w:rsidRDefault="007151E8" w:rsidP="00892F60">
            <w:pPr>
              <w:rPr>
                <w:b/>
                <w:bCs/>
              </w:rPr>
            </w:pPr>
            <w:r w:rsidRPr="00061629">
              <w:rPr>
                <w:b/>
                <w:bCs/>
              </w:rPr>
              <w:t>Implication</w:t>
            </w:r>
          </w:p>
        </w:tc>
      </w:tr>
      <w:tr w:rsidR="007151E8" w:rsidRPr="00061629" w14:paraId="4FA179A4" w14:textId="77777777" w:rsidTr="003F5399">
        <w:trPr>
          <w:trHeight w:val="1178"/>
        </w:trPr>
        <w:tc>
          <w:tcPr>
            <w:tcW w:w="805" w:type="dxa"/>
            <w:vAlign w:val="center"/>
          </w:tcPr>
          <w:p w14:paraId="73AD0170" w14:textId="77777777" w:rsidR="007151E8" w:rsidRPr="00061629" w:rsidRDefault="007151E8" w:rsidP="00892F60">
            <w:pPr>
              <w:jc w:val="center"/>
              <w:rPr>
                <w:b/>
                <w:bCs/>
                <w:sz w:val="28"/>
                <w:szCs w:val="28"/>
              </w:rPr>
            </w:pPr>
            <w:r w:rsidRPr="00061629">
              <w:rPr>
                <w:b/>
                <w:bCs/>
                <w:sz w:val="28"/>
                <w:szCs w:val="28"/>
              </w:rPr>
              <w:t>0</w:t>
            </w:r>
          </w:p>
          <w:p w14:paraId="4F1D1D0C" w14:textId="77777777" w:rsidR="007151E8" w:rsidRPr="00061629" w:rsidRDefault="007151E8" w:rsidP="00892F60">
            <w:pPr>
              <w:jc w:val="center"/>
              <w:rPr>
                <w:b/>
                <w:bCs/>
                <w:sz w:val="28"/>
                <w:szCs w:val="28"/>
              </w:rPr>
            </w:pPr>
          </w:p>
        </w:tc>
        <w:tc>
          <w:tcPr>
            <w:tcW w:w="5428" w:type="dxa"/>
          </w:tcPr>
          <w:p w14:paraId="5D5AB1A9" w14:textId="67DB7585" w:rsidR="007151E8" w:rsidRPr="00061629" w:rsidRDefault="007151E8" w:rsidP="00892F60">
            <w:r w:rsidRPr="00DC6AFB">
              <w:rPr>
                <w:i/>
                <w:iCs/>
              </w:rPr>
              <w:t>No Coverage:</w:t>
            </w:r>
            <w:r w:rsidRPr="00061629">
              <w:t xml:space="preserve"> The content of this domain is not covered in the course at all. There is no mention or reference to any topics or concepts within the domain. No course materials</w:t>
            </w:r>
            <w:r w:rsidR="003F5399">
              <w:t xml:space="preserve"> </w:t>
            </w:r>
            <w:r w:rsidRPr="00061629">
              <w:t>are related to this domain.</w:t>
            </w:r>
          </w:p>
        </w:tc>
        <w:tc>
          <w:tcPr>
            <w:tcW w:w="3117" w:type="dxa"/>
          </w:tcPr>
          <w:p w14:paraId="7508047F" w14:textId="4E948022" w:rsidR="007151E8" w:rsidRPr="00061629" w:rsidRDefault="007151E8" w:rsidP="003F5399">
            <w:r w:rsidRPr="00061629">
              <w:t>Significant gap in coverage for the domain. Learners will lack fundamental knowledge in this area.</w:t>
            </w:r>
          </w:p>
        </w:tc>
      </w:tr>
      <w:tr w:rsidR="007151E8" w:rsidRPr="00061629" w14:paraId="2D85984E" w14:textId="77777777" w:rsidTr="008928F4">
        <w:trPr>
          <w:trHeight w:val="1700"/>
        </w:trPr>
        <w:tc>
          <w:tcPr>
            <w:tcW w:w="805" w:type="dxa"/>
            <w:vAlign w:val="center"/>
          </w:tcPr>
          <w:p w14:paraId="00C46C03" w14:textId="77777777" w:rsidR="007151E8" w:rsidRPr="00061629" w:rsidRDefault="007151E8" w:rsidP="00892F60">
            <w:pPr>
              <w:jc w:val="center"/>
              <w:rPr>
                <w:b/>
                <w:bCs/>
                <w:sz w:val="28"/>
                <w:szCs w:val="28"/>
              </w:rPr>
            </w:pPr>
            <w:r w:rsidRPr="00061629">
              <w:rPr>
                <w:b/>
                <w:bCs/>
                <w:sz w:val="28"/>
                <w:szCs w:val="28"/>
              </w:rPr>
              <w:t>1</w:t>
            </w:r>
          </w:p>
          <w:p w14:paraId="0A7063FE" w14:textId="77777777" w:rsidR="007151E8" w:rsidRPr="00061629" w:rsidRDefault="007151E8" w:rsidP="00892F60">
            <w:pPr>
              <w:jc w:val="center"/>
            </w:pPr>
          </w:p>
        </w:tc>
        <w:tc>
          <w:tcPr>
            <w:tcW w:w="5428" w:type="dxa"/>
          </w:tcPr>
          <w:p w14:paraId="0F3FE526" w14:textId="675779F7" w:rsidR="007151E8" w:rsidRPr="00061629" w:rsidRDefault="007151E8" w:rsidP="00892F60">
            <w:r w:rsidRPr="003F5399">
              <w:rPr>
                <w:i/>
                <w:iCs/>
              </w:rPr>
              <w:t>Minimal Coverage:</w:t>
            </w:r>
            <w:r w:rsidRPr="00061629">
              <w:t xml:space="preserve"> The content of this domain is covered minimally in the course. </w:t>
            </w:r>
            <w:r w:rsidR="00833C5D">
              <w:t>Select topics within the domain are limitedly mentioned or covered</w:t>
            </w:r>
            <w:r w:rsidRPr="00061629">
              <w:t xml:space="preserve">. Course resources or materials offer limited coverage related to this domain. </w:t>
            </w:r>
          </w:p>
        </w:tc>
        <w:tc>
          <w:tcPr>
            <w:tcW w:w="3117" w:type="dxa"/>
          </w:tcPr>
          <w:p w14:paraId="2146A06F" w14:textId="77777777" w:rsidR="007151E8" w:rsidRPr="00061629" w:rsidRDefault="007151E8" w:rsidP="00892F60">
            <w:r w:rsidRPr="00061629">
              <w:t>Partial understanding of the domain. Learners may struggle with related questions on the exam without further independent preparation.</w:t>
            </w:r>
          </w:p>
        </w:tc>
      </w:tr>
      <w:tr w:rsidR="007151E8" w:rsidRPr="00061629" w14:paraId="458CE87E" w14:textId="77777777" w:rsidTr="00C94A5A">
        <w:trPr>
          <w:trHeight w:val="1700"/>
        </w:trPr>
        <w:tc>
          <w:tcPr>
            <w:tcW w:w="805" w:type="dxa"/>
            <w:vAlign w:val="center"/>
          </w:tcPr>
          <w:p w14:paraId="7930BF96" w14:textId="77777777" w:rsidR="007151E8" w:rsidRPr="00061629" w:rsidRDefault="007151E8" w:rsidP="00892F60">
            <w:pPr>
              <w:jc w:val="center"/>
              <w:rPr>
                <w:b/>
                <w:bCs/>
                <w:sz w:val="28"/>
                <w:szCs w:val="28"/>
              </w:rPr>
            </w:pPr>
            <w:r w:rsidRPr="00061629">
              <w:rPr>
                <w:b/>
                <w:bCs/>
                <w:sz w:val="28"/>
                <w:szCs w:val="28"/>
              </w:rPr>
              <w:t>2</w:t>
            </w:r>
          </w:p>
          <w:p w14:paraId="5E32DE7B" w14:textId="77777777" w:rsidR="007151E8" w:rsidRPr="00061629" w:rsidRDefault="007151E8" w:rsidP="00892F60">
            <w:pPr>
              <w:jc w:val="center"/>
            </w:pPr>
          </w:p>
        </w:tc>
        <w:tc>
          <w:tcPr>
            <w:tcW w:w="5428" w:type="dxa"/>
          </w:tcPr>
          <w:p w14:paraId="4123CF6B" w14:textId="0A942EDF" w:rsidR="007151E8" w:rsidRPr="00061629" w:rsidRDefault="007151E8" w:rsidP="00892F60">
            <w:r w:rsidRPr="008928F4">
              <w:rPr>
                <w:i/>
                <w:iCs/>
              </w:rPr>
              <w:t>Basic Coverage:</w:t>
            </w:r>
            <w:r w:rsidRPr="00061629">
              <w:t xml:space="preserve"> The course covers basic aspects of th</w:t>
            </w:r>
            <w:r w:rsidR="008928F4">
              <w:t xml:space="preserve">is </w:t>
            </w:r>
            <w:r w:rsidRPr="00061629">
              <w:t xml:space="preserve">domain. </w:t>
            </w:r>
            <w:r w:rsidR="00833C5D">
              <w:t>It</w:t>
            </w:r>
            <w:r w:rsidRPr="00061629">
              <w:t xml:space="preserve"> includes basic explanations or introductions to key topics within the domain. Some relevant resources or materials are provided. </w:t>
            </w:r>
          </w:p>
        </w:tc>
        <w:tc>
          <w:tcPr>
            <w:tcW w:w="3117" w:type="dxa"/>
          </w:tcPr>
          <w:p w14:paraId="15D91F27" w14:textId="77777777" w:rsidR="007151E8" w:rsidRPr="00061629" w:rsidRDefault="007151E8" w:rsidP="00892F60">
            <w:r w:rsidRPr="00061629">
              <w:t>Adequate understanding of fundamental concepts within the domain, though additional study or resources may be required for a deeper understanding.</w:t>
            </w:r>
          </w:p>
        </w:tc>
      </w:tr>
      <w:tr w:rsidR="007151E8" w:rsidRPr="00061629" w14:paraId="15293BA6" w14:textId="77777777" w:rsidTr="00C94A5A">
        <w:trPr>
          <w:trHeight w:val="1970"/>
        </w:trPr>
        <w:tc>
          <w:tcPr>
            <w:tcW w:w="805" w:type="dxa"/>
            <w:vAlign w:val="center"/>
          </w:tcPr>
          <w:p w14:paraId="49C014FF" w14:textId="77777777" w:rsidR="007151E8" w:rsidRPr="00061629" w:rsidRDefault="007151E8" w:rsidP="00892F60">
            <w:pPr>
              <w:jc w:val="center"/>
              <w:rPr>
                <w:b/>
                <w:bCs/>
                <w:sz w:val="28"/>
                <w:szCs w:val="28"/>
              </w:rPr>
            </w:pPr>
            <w:r w:rsidRPr="00061629">
              <w:rPr>
                <w:b/>
                <w:bCs/>
                <w:sz w:val="28"/>
                <w:szCs w:val="28"/>
              </w:rPr>
              <w:t>3</w:t>
            </w:r>
          </w:p>
          <w:p w14:paraId="68F251B4" w14:textId="77777777" w:rsidR="007151E8" w:rsidRPr="00061629" w:rsidRDefault="007151E8" w:rsidP="00892F60">
            <w:pPr>
              <w:jc w:val="center"/>
            </w:pPr>
          </w:p>
        </w:tc>
        <w:tc>
          <w:tcPr>
            <w:tcW w:w="5428" w:type="dxa"/>
          </w:tcPr>
          <w:p w14:paraId="1D4FA4B6" w14:textId="71D6E68B" w:rsidR="007151E8" w:rsidRPr="00061629" w:rsidRDefault="007151E8" w:rsidP="00892F60">
            <w:r w:rsidRPr="00C94A5A">
              <w:rPr>
                <w:i/>
                <w:iCs/>
              </w:rPr>
              <w:t>Moderate Coverage:</w:t>
            </w:r>
            <w:r w:rsidRPr="00061629">
              <w:t xml:space="preserve"> The course provides moderate </w:t>
            </w:r>
            <w:r w:rsidR="00EC7E5C">
              <w:t>content domain coverage</w:t>
            </w:r>
            <w:r w:rsidRPr="00061629">
              <w:t xml:space="preserve">, adequately covering most key topics. It provides adequate explanations and discussions of key topics within the domain. Relevant and varied resources or materials are provided. </w:t>
            </w:r>
          </w:p>
        </w:tc>
        <w:tc>
          <w:tcPr>
            <w:tcW w:w="3117" w:type="dxa"/>
          </w:tcPr>
          <w:p w14:paraId="136E9A7C" w14:textId="77777777" w:rsidR="007151E8" w:rsidRPr="00061629" w:rsidRDefault="007151E8" w:rsidP="00892F60">
            <w:r w:rsidRPr="00061629">
              <w:t>Good understanding of most concepts within the domain. Learners should be adequately prepared for related questions on the exam.</w:t>
            </w:r>
          </w:p>
        </w:tc>
      </w:tr>
      <w:tr w:rsidR="007151E8" w:rsidRPr="00061629" w14:paraId="223BE1A7" w14:textId="77777777" w:rsidTr="00BB38C6">
        <w:trPr>
          <w:trHeight w:val="1970"/>
        </w:trPr>
        <w:tc>
          <w:tcPr>
            <w:tcW w:w="805" w:type="dxa"/>
            <w:vAlign w:val="center"/>
          </w:tcPr>
          <w:p w14:paraId="69E21669" w14:textId="77777777" w:rsidR="007151E8" w:rsidRPr="00061629" w:rsidRDefault="007151E8" w:rsidP="00892F60">
            <w:pPr>
              <w:jc w:val="center"/>
              <w:rPr>
                <w:b/>
                <w:bCs/>
                <w:sz w:val="28"/>
                <w:szCs w:val="28"/>
              </w:rPr>
            </w:pPr>
            <w:r w:rsidRPr="00061629">
              <w:rPr>
                <w:b/>
                <w:bCs/>
                <w:sz w:val="28"/>
                <w:szCs w:val="28"/>
              </w:rPr>
              <w:t>4</w:t>
            </w:r>
          </w:p>
          <w:p w14:paraId="2182A272" w14:textId="77777777" w:rsidR="007151E8" w:rsidRPr="00061629" w:rsidRDefault="007151E8" w:rsidP="00892F60">
            <w:pPr>
              <w:jc w:val="center"/>
            </w:pPr>
          </w:p>
        </w:tc>
        <w:tc>
          <w:tcPr>
            <w:tcW w:w="5428" w:type="dxa"/>
          </w:tcPr>
          <w:p w14:paraId="04B59EA3" w14:textId="40A73CFB" w:rsidR="007151E8" w:rsidRPr="00061629" w:rsidRDefault="007151E8" w:rsidP="00892F60">
            <w:r w:rsidRPr="00C94A5A">
              <w:rPr>
                <w:i/>
                <w:iCs/>
              </w:rPr>
              <w:t>Extensive Coverage:</w:t>
            </w:r>
            <w:r w:rsidRPr="00061629">
              <w:t xml:space="preserve"> The course extensively covers th</w:t>
            </w:r>
            <w:r w:rsidR="00C94A5A">
              <w:t xml:space="preserve">is </w:t>
            </w:r>
            <w:r w:rsidRPr="00061629">
              <w:t xml:space="preserve">content domain, providing thorough and comprehensive coverage. </w:t>
            </w:r>
            <w:r w:rsidR="00D92202">
              <w:t>It provides</w:t>
            </w:r>
            <w:r w:rsidRPr="00061629">
              <w:t xml:space="preserve"> detailed explanations and analyses of all key topics within the domain. Abundant and diverse resources or materials cover various aspects of the domain. </w:t>
            </w:r>
          </w:p>
        </w:tc>
        <w:tc>
          <w:tcPr>
            <w:tcW w:w="3117" w:type="dxa"/>
          </w:tcPr>
          <w:p w14:paraId="469376A8" w14:textId="77777777" w:rsidR="007151E8" w:rsidRPr="00061629" w:rsidRDefault="007151E8" w:rsidP="00892F60">
            <w:r w:rsidRPr="00061629">
              <w:t>Excellent understanding of all concepts within the domain. Learners are well-prepared to answer questions on the exam and apply their knowledge effectively.</w:t>
            </w:r>
          </w:p>
        </w:tc>
      </w:tr>
    </w:tbl>
    <w:p w14:paraId="56DD3020" w14:textId="77777777" w:rsidR="00C323ED" w:rsidRDefault="00C323ED" w:rsidP="007151E8">
      <w:pPr>
        <w:sectPr w:rsidR="00C323ED" w:rsidSect="008F5240">
          <w:pgSz w:w="12240" w:h="15840"/>
          <w:pgMar w:top="1440" w:right="1440" w:bottom="1440" w:left="1440" w:header="720" w:footer="720" w:gutter="0"/>
          <w:cols w:space="720"/>
          <w:docGrid w:linePitch="360"/>
        </w:sectPr>
      </w:pPr>
    </w:p>
    <w:p w14:paraId="02B174A3" w14:textId="77777777" w:rsidR="007151E8" w:rsidRPr="006F6022" w:rsidRDefault="007151E8" w:rsidP="007151E8">
      <w:pPr>
        <w:pStyle w:val="Heading1"/>
      </w:pPr>
      <w:r>
        <w:lastRenderedPageBreak/>
        <w:t xml:space="preserve">CMCA Exam Content Outline </w:t>
      </w:r>
    </w:p>
    <w:p w14:paraId="64847638" w14:textId="60FACD3B" w:rsidR="003D5EBE" w:rsidRDefault="003D5EBE" w:rsidP="003D5EBE">
      <w:r w:rsidRPr="00061629">
        <w:t xml:space="preserve">The </w:t>
      </w:r>
      <w:r w:rsidR="00184096">
        <w:t xml:space="preserve">full </w:t>
      </w:r>
      <w:r w:rsidRPr="00061629">
        <w:t xml:space="preserve">content outline </w:t>
      </w:r>
      <w:r w:rsidR="00BB38C6">
        <w:t xml:space="preserve">is </w:t>
      </w:r>
      <w:r w:rsidR="00184096">
        <w:t xml:space="preserve">included below for reference. It </w:t>
      </w:r>
      <w:r w:rsidRPr="00061629">
        <w:t xml:space="preserve">comprises six </w:t>
      </w:r>
      <w:r>
        <w:t xml:space="preserve">knowledge </w:t>
      </w:r>
      <w:r w:rsidRPr="00061629">
        <w:t xml:space="preserve">domains. Each domain includes a written summary, as well as knowledge statements and task statements. Knowledge </w:t>
      </w:r>
      <w:r>
        <w:t>s</w:t>
      </w:r>
      <w:r w:rsidRPr="00061629">
        <w:t xml:space="preserve">tatements represent the fundamental concepts that CMCA candidates should understand. Task </w:t>
      </w:r>
      <w:r>
        <w:t>s</w:t>
      </w:r>
      <w:r w:rsidRPr="00061629">
        <w:t>tatements outlin</w:t>
      </w:r>
      <w:r>
        <w:t>e</w:t>
      </w:r>
      <w:r w:rsidRPr="00061629">
        <w:t xml:space="preserve"> the duties a candidate should be able to perform</w:t>
      </w:r>
      <w:r>
        <w:t>,</w:t>
      </w:r>
      <w:r w:rsidRPr="000040BE">
        <w:t xml:space="preserve"> </w:t>
      </w:r>
      <w:r w:rsidRPr="00061629">
        <w:t>represent</w:t>
      </w:r>
      <w:r>
        <w:t>ing</w:t>
      </w:r>
      <w:r w:rsidRPr="00061629">
        <w:t xml:space="preserve"> the practical application of the </w:t>
      </w:r>
      <w:r>
        <w:t>knowledge statements</w:t>
      </w:r>
      <w:r w:rsidRPr="00061629">
        <w:t xml:space="preserve">. Tasks are further categorized into sub-domains, providing a detailed breakdown of specific job functions within each broader domain. </w:t>
      </w:r>
    </w:p>
    <w:p w14:paraId="6CD43241" w14:textId="25AF9B59" w:rsidR="007151E8" w:rsidRDefault="00EE7681" w:rsidP="007151E8">
      <w:r>
        <w:t>When assigning a Domain-Level Score, assessors</w:t>
      </w:r>
      <w:r w:rsidRPr="00EE7681">
        <w:t xml:space="preserve"> consider alignment with all aspects of the domain, including the summary, knowledge statements, and task statements.</w:t>
      </w:r>
    </w:p>
    <w:tbl>
      <w:tblPr>
        <w:tblW w:w="10080" w:type="dxa"/>
        <w:tblLook w:val="04A0" w:firstRow="1" w:lastRow="0" w:firstColumn="1" w:lastColumn="0" w:noHBand="0" w:noVBand="1"/>
      </w:tblPr>
      <w:tblGrid>
        <w:gridCol w:w="10080"/>
      </w:tblGrid>
      <w:tr w:rsidR="007151E8" w:rsidRPr="008B687D" w14:paraId="3C9A7ED2" w14:textId="77777777" w:rsidTr="00892F60">
        <w:trPr>
          <w:trHeight w:val="458"/>
        </w:trPr>
        <w:tc>
          <w:tcPr>
            <w:tcW w:w="10080" w:type="dxa"/>
            <w:tcBorders>
              <w:top w:val="single" w:sz="4" w:space="0" w:color="DDEBF7"/>
              <w:left w:val="single" w:sz="4" w:space="0" w:color="DDEBF7"/>
              <w:bottom w:val="single" w:sz="4" w:space="0" w:color="DDEBF7"/>
              <w:right w:val="single" w:sz="4" w:space="0" w:color="DDEBF7"/>
            </w:tcBorders>
            <w:shd w:val="clear" w:color="000000" w:fill="1F4E78"/>
            <w:hideMark/>
          </w:tcPr>
          <w:p w14:paraId="2398EBCB" w14:textId="77777777" w:rsidR="007151E8" w:rsidRPr="008B687D" w:rsidRDefault="007151E8" w:rsidP="00892F60">
            <w:pPr>
              <w:spacing w:after="0" w:line="240" w:lineRule="auto"/>
              <w:rPr>
                <w:rFonts w:ascii="Calibri Light" w:eastAsia="Times New Roman" w:hAnsi="Calibri Light" w:cs="Calibri Light"/>
                <w:b/>
                <w:bCs/>
                <w:color w:val="FFFFFF"/>
                <w:sz w:val="32"/>
                <w:szCs w:val="32"/>
              </w:rPr>
            </w:pPr>
            <w:r w:rsidRPr="008B687D">
              <w:rPr>
                <w:rFonts w:ascii="Calibri Light" w:eastAsia="Times New Roman" w:hAnsi="Calibri Light" w:cs="Calibri Light"/>
                <w:b/>
                <w:bCs/>
                <w:color w:val="FFFFFF"/>
                <w:sz w:val="32"/>
                <w:szCs w:val="32"/>
              </w:rPr>
              <w:t>GOVERNANCE AND COMPLIANCE (23%)</w:t>
            </w:r>
          </w:p>
        </w:tc>
      </w:tr>
      <w:tr w:rsidR="007151E8" w:rsidRPr="008B687D" w14:paraId="360C0BC1" w14:textId="77777777" w:rsidTr="00892F60">
        <w:trPr>
          <w:trHeight w:val="2006"/>
        </w:trPr>
        <w:tc>
          <w:tcPr>
            <w:tcW w:w="10080" w:type="dxa"/>
            <w:tcBorders>
              <w:top w:val="nil"/>
              <w:left w:val="single" w:sz="4" w:space="0" w:color="DDEBF7"/>
              <w:bottom w:val="single" w:sz="4" w:space="0" w:color="DDEBF7"/>
              <w:right w:val="single" w:sz="4" w:space="0" w:color="DDEBF7"/>
            </w:tcBorders>
            <w:shd w:val="clear" w:color="000000" w:fill="1F4E78"/>
            <w:hideMark/>
          </w:tcPr>
          <w:p w14:paraId="0E002159" w14:textId="77777777" w:rsidR="007151E8" w:rsidRPr="008B687D" w:rsidRDefault="007151E8" w:rsidP="00892F60">
            <w:pPr>
              <w:spacing w:after="0" w:line="240" w:lineRule="auto"/>
              <w:rPr>
                <w:rFonts w:ascii="Calibri Light" w:eastAsia="Times New Roman" w:hAnsi="Calibri Light" w:cs="Calibri Light"/>
                <w:color w:val="FFFFFF"/>
              </w:rPr>
            </w:pPr>
            <w:r w:rsidRPr="008B687D">
              <w:rPr>
                <w:rFonts w:ascii="Calibri Light" w:eastAsia="Times New Roman" w:hAnsi="Calibri Light" w:cs="Calibri Light"/>
                <w:color w:val="FFFFFF"/>
              </w:rPr>
              <w:t>An association manager must demonstrate competence in the administration of organizational accountability, decision transparency, and legal accountability, including policy development, rule enforcement, communication, and delineation of roles and responsibilities, to (a) ensure the association is in compliance with all governing documents and legal requirements, (b) ensure rules and policies are applied in a fair and consistent manner, (c) cultivate and promote a positive and peaceful community environment, and (d) ensure the board, association members, and other parties have a clear understanding of the governing documents, relevant laws, and when to seek legal clarification or interpretation.</w:t>
            </w:r>
          </w:p>
        </w:tc>
      </w:tr>
      <w:tr w:rsidR="007151E8" w:rsidRPr="008B687D" w14:paraId="33E50530"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072BBC57" w14:textId="77777777"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KNOWLEDGE STATEMENTS</w:t>
            </w:r>
          </w:p>
        </w:tc>
      </w:tr>
      <w:tr w:rsidR="007151E8" w:rsidRPr="008B687D" w14:paraId="75BAAD0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404C30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procedures for managing unrecoverable debts</w:t>
            </w:r>
          </w:p>
        </w:tc>
      </w:tr>
      <w:tr w:rsidR="007151E8" w:rsidRPr="008B687D" w14:paraId="716F4C99"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58D868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purposes and components of disclosure statements </w:t>
            </w:r>
          </w:p>
        </w:tc>
      </w:tr>
      <w:tr w:rsidR="007151E8" w:rsidRPr="008B687D" w14:paraId="39D6AD5C"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5DA7C12"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of assessment/debt collection </w:t>
            </w:r>
          </w:p>
        </w:tc>
      </w:tr>
      <w:tr w:rsidR="007151E8" w:rsidRPr="008B687D" w14:paraId="60349F6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BC56EB2"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and components of collection policies </w:t>
            </w:r>
          </w:p>
        </w:tc>
      </w:tr>
      <w:tr w:rsidR="007151E8" w:rsidRPr="008B687D" w14:paraId="44642C1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DD4B65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community association governing documents </w:t>
            </w:r>
          </w:p>
        </w:tc>
      </w:tr>
      <w:tr w:rsidR="007151E8" w:rsidRPr="008B687D" w14:paraId="45FA352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1FBDA8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due process principles and procedures</w:t>
            </w:r>
          </w:p>
        </w:tc>
      </w:tr>
      <w:tr w:rsidR="007151E8" w:rsidRPr="008B687D" w14:paraId="054D0BB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AD6963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principles and procedures for establishing association rules and architectural and/or aesthetic guidelines</w:t>
            </w:r>
          </w:p>
        </w:tc>
      </w:tr>
      <w:tr w:rsidR="007151E8" w:rsidRPr="008B687D" w14:paraId="441CE44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7C7B94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principles of legislation and policy development</w:t>
            </w:r>
          </w:p>
        </w:tc>
      </w:tr>
      <w:tr w:rsidR="007151E8" w:rsidRPr="008B687D" w14:paraId="474A5FD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36DD32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restrictions </w:t>
            </w:r>
          </w:p>
        </w:tc>
      </w:tr>
      <w:tr w:rsidR="007151E8" w:rsidRPr="008B687D" w14:paraId="58708D7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B4B07A2"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board resolutions </w:t>
            </w:r>
          </w:p>
        </w:tc>
      </w:tr>
      <w:tr w:rsidR="007151E8" w:rsidRPr="008B687D" w14:paraId="6A4355E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0F10B17"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governance issues that require legal review </w:t>
            </w:r>
          </w:p>
        </w:tc>
      </w:tr>
      <w:tr w:rsidR="007151E8" w:rsidRPr="008B687D" w14:paraId="20D7673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4439C7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procedures for transitioning governance of the association from developers to owners</w:t>
            </w:r>
          </w:p>
        </w:tc>
      </w:tr>
      <w:tr w:rsidR="007151E8" w:rsidRPr="008B687D" w14:paraId="5E36BEB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2A0645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committees established by the board </w:t>
            </w:r>
          </w:p>
        </w:tc>
      </w:tr>
      <w:tr w:rsidR="007151E8" w:rsidRPr="008B687D" w14:paraId="73DBF30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53E58A7"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roles, rights, and responsibilities of board members and officers</w:t>
            </w:r>
          </w:p>
        </w:tc>
      </w:tr>
      <w:tr w:rsidR="007151E8" w:rsidRPr="008B687D" w14:paraId="2CA8D23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807573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roles, rights, and responsibilities of community association managers</w:t>
            </w:r>
          </w:p>
        </w:tc>
      </w:tr>
      <w:tr w:rsidR="007151E8" w:rsidRPr="008B687D" w14:paraId="4828E98C"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39437A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roles, rights, and responsibilities of members of the community association</w:t>
            </w:r>
          </w:p>
        </w:tc>
      </w:tr>
      <w:tr w:rsidR="007151E8" w:rsidRPr="008B687D" w14:paraId="31779DE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49489C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community associations </w:t>
            </w:r>
          </w:p>
        </w:tc>
      </w:tr>
      <w:tr w:rsidR="007151E8" w:rsidRPr="008B687D" w14:paraId="43C7CFB1"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4F12FE9"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conflict resolution strategies and techniques </w:t>
            </w:r>
          </w:p>
        </w:tc>
      </w:tr>
      <w:tr w:rsidR="007151E8" w:rsidRPr="008B687D" w14:paraId="7CBC449A"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63778F2B" w14:textId="5E607902"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TASK STATEMENTS</w:t>
            </w:r>
          </w:p>
        </w:tc>
      </w:tr>
      <w:tr w:rsidR="007151E8" w:rsidRPr="008B687D" w14:paraId="7A56A08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5DA0BBEF"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Enforce association rules and regulations.</w:t>
            </w:r>
          </w:p>
        </w:tc>
      </w:tr>
      <w:tr w:rsidR="007151E8" w:rsidRPr="008B687D" w14:paraId="6C69C37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85A548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Review association governing documents.</w:t>
            </w:r>
          </w:p>
        </w:tc>
      </w:tr>
      <w:tr w:rsidR="007151E8" w:rsidRPr="008B687D" w14:paraId="1175625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07B9E5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lastRenderedPageBreak/>
              <w:t xml:space="preserve">Assess association operations to determine if they </w:t>
            </w:r>
            <w:proofErr w:type="gramStart"/>
            <w:r w:rsidRPr="008B687D">
              <w:rPr>
                <w:rFonts w:ascii="Calibri Light" w:eastAsia="Times New Roman" w:hAnsi="Calibri Light" w:cs="Calibri Light"/>
                <w:color w:val="000000"/>
              </w:rPr>
              <w:t>are in compliance with</w:t>
            </w:r>
            <w:proofErr w:type="gramEnd"/>
            <w:r w:rsidRPr="008B687D">
              <w:rPr>
                <w:rFonts w:ascii="Calibri Light" w:eastAsia="Times New Roman" w:hAnsi="Calibri Light" w:cs="Calibri Light"/>
                <w:color w:val="000000"/>
              </w:rPr>
              <w:t xml:space="preserve"> the association</w:t>
            </w:r>
            <w:r>
              <w:rPr>
                <w:rFonts w:ascii="Calibri Light" w:eastAsia="Times New Roman" w:hAnsi="Calibri Light" w:cs="Calibri Light"/>
                <w:color w:val="000000"/>
              </w:rPr>
              <w:t>’</w:t>
            </w:r>
            <w:r w:rsidRPr="008B687D">
              <w:rPr>
                <w:rFonts w:ascii="Calibri Light" w:eastAsia="Times New Roman" w:hAnsi="Calibri Light" w:cs="Calibri Light"/>
                <w:color w:val="000000"/>
              </w:rPr>
              <w:t>s governing documents.</w:t>
            </w:r>
          </w:p>
        </w:tc>
      </w:tr>
      <w:tr w:rsidR="007151E8" w:rsidRPr="008B687D" w14:paraId="6DB7BA9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F4B7AE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and/or update procedures for promoting compliance with association rules, policies, and guidelines.</w:t>
            </w:r>
          </w:p>
        </w:tc>
      </w:tr>
      <w:tr w:rsidR="007151E8" w:rsidRPr="008B687D" w14:paraId="37109CC9"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C7D897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Enforce association rules, policies, and guidelines.</w:t>
            </w:r>
          </w:p>
        </w:tc>
      </w:tr>
      <w:tr w:rsidR="007151E8" w:rsidRPr="008B687D" w14:paraId="3E4BF80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35BA81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Document violations of association governing documents, rules, policies, and/or guidelines.</w:t>
            </w:r>
          </w:p>
        </w:tc>
      </w:tr>
      <w:tr w:rsidR="007151E8" w:rsidRPr="008B687D" w14:paraId="0EE8CC9F"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037732E9"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Implement the collection policy adopted by the board (e.g., preparing and/or issuing notices for assessment payments, imposing late fees, suspending privileges and/or voting rights).</w:t>
            </w:r>
          </w:p>
        </w:tc>
      </w:tr>
      <w:tr w:rsidR="007151E8" w:rsidRPr="008B687D" w14:paraId="2881286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28FA61A8"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Provide information and/or guidance on association rules, policies, and procedures.</w:t>
            </w:r>
          </w:p>
        </w:tc>
      </w:tr>
      <w:tr w:rsidR="007151E8" w:rsidRPr="008B687D" w14:paraId="79DDAC16"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DF6A32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and/or guidance to the board on the development and enforcement of association rules, policies, and/or procedures.</w:t>
            </w:r>
          </w:p>
        </w:tc>
      </w:tr>
      <w:tr w:rsidR="007151E8" w:rsidRPr="008B687D" w14:paraId="06FC7028"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481FCCB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qualified parties (e.g., attorney, legal representative) to provide information and/or guidance to the board on laws, statutes, ordinances, and other legal requirements that impact the association.</w:t>
            </w:r>
          </w:p>
        </w:tc>
      </w:tr>
      <w:tr w:rsidR="007151E8" w:rsidRPr="008B687D" w14:paraId="20926AA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D675772"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Compile and distribute information pertaining to the governance of the association (e.g., legal updates, decisions and actions taken at board meetings).</w:t>
            </w:r>
          </w:p>
        </w:tc>
      </w:tr>
      <w:tr w:rsidR="007151E8" w:rsidRPr="008B687D" w14:paraId="3C61890D"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2C11A7D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and/or guidance to the board on the roles and responsibilities of association members and stakeholders (e.g., directors, officers, committee members, owners, association managers).</w:t>
            </w:r>
          </w:p>
        </w:tc>
      </w:tr>
      <w:tr w:rsidR="007151E8" w:rsidRPr="008B687D" w14:paraId="41144F0C"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4D3814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and/or guidance to the board on the association</w:t>
            </w:r>
            <w:r>
              <w:rPr>
                <w:rFonts w:ascii="Calibri Light" w:eastAsia="Times New Roman" w:hAnsi="Calibri Light" w:cs="Calibri Light"/>
                <w:color w:val="000000"/>
              </w:rPr>
              <w:t>’</w:t>
            </w:r>
            <w:r w:rsidRPr="008B687D">
              <w:rPr>
                <w:rFonts w:ascii="Calibri Light" w:eastAsia="Times New Roman" w:hAnsi="Calibri Light" w:cs="Calibri Light"/>
                <w:color w:val="000000"/>
              </w:rPr>
              <w:t>s responsibilities for the maintenance of association assets.</w:t>
            </w:r>
          </w:p>
        </w:tc>
      </w:tr>
      <w:tr w:rsidR="007151E8" w:rsidRPr="008B687D" w14:paraId="2607976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432964AA"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Resolve complaints, disputes, grievances, and conflicts among individuals and/or groups.</w:t>
            </w:r>
          </w:p>
        </w:tc>
      </w:tr>
      <w:tr w:rsidR="007151E8" w:rsidRPr="008B687D" w14:paraId="5550C09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C48863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Document complaints, disputes, grievances, and/or conflicts submitted by association members, residents, employees, service providers, and/or board members.</w:t>
            </w:r>
          </w:p>
        </w:tc>
      </w:tr>
      <w:tr w:rsidR="007151E8" w:rsidRPr="008B687D" w14:paraId="40ECF9E8"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15FA5DC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qualified parties (e.g., the board, legal representative, specialists) to investigate and resolve complaints, disputes, grievances, and/or conflicts submitted by association members, residents, employees, service providers, and/or board members.</w:t>
            </w:r>
          </w:p>
        </w:tc>
      </w:tr>
      <w:tr w:rsidR="007151E8" w:rsidRPr="008B687D" w14:paraId="3FB994D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5E3C05DB"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Process, store, and maintain business and administrative information, data, and records.</w:t>
            </w:r>
          </w:p>
        </w:tc>
      </w:tr>
      <w:tr w:rsidR="007151E8" w:rsidRPr="008B687D" w14:paraId="0B135F5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D8F3C9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Maintain directories of community information (e.g., preferred service providers, physical amenities, hours of operation, owner and association responsibilities).</w:t>
            </w:r>
          </w:p>
        </w:tc>
      </w:tr>
      <w:tr w:rsidR="007151E8" w:rsidRPr="008B687D" w14:paraId="08622A44"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013C7BB3"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Organize, store, and maintain association documents, files, and records (e.g., membership lists, contracts, owner files, meeting minutes, board nominations, corporate register, invoices, insurance policies, enforcement notices, information required by law).</w:t>
            </w:r>
          </w:p>
        </w:tc>
      </w:tr>
      <w:tr w:rsidR="007151E8" w:rsidRPr="008B687D" w14:paraId="3F6DCC1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8FC3AF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Review and/or process the association</w:t>
            </w:r>
            <w:r>
              <w:rPr>
                <w:rFonts w:ascii="Calibri Light" w:eastAsia="Times New Roman" w:hAnsi="Calibri Light" w:cs="Calibri Light"/>
                <w:color w:val="000000"/>
              </w:rPr>
              <w:t>’</w:t>
            </w:r>
            <w:r w:rsidRPr="008B687D">
              <w:rPr>
                <w:rFonts w:ascii="Calibri Light" w:eastAsia="Times New Roman" w:hAnsi="Calibri Light" w:cs="Calibri Light"/>
                <w:color w:val="000000"/>
              </w:rPr>
              <w:t>s corporate registration.</w:t>
            </w:r>
          </w:p>
        </w:tc>
      </w:tr>
      <w:tr w:rsidR="007151E8" w:rsidRPr="008B687D" w14:paraId="41A4A0D1"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23A4CE3"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Process owners</w:t>
            </w:r>
            <w:r>
              <w:rPr>
                <w:rFonts w:ascii="Calibri Light" w:eastAsia="Times New Roman" w:hAnsi="Calibri Light" w:cs="Calibri Light"/>
                <w:color w:val="000000"/>
              </w:rPr>
              <w:t>’</w:t>
            </w:r>
            <w:r w:rsidRPr="008B687D">
              <w:rPr>
                <w:rFonts w:ascii="Calibri Light" w:eastAsia="Times New Roman" w:hAnsi="Calibri Light" w:cs="Calibri Light"/>
                <w:color w:val="000000"/>
              </w:rPr>
              <w:t xml:space="preserve"> requests for architectural and/or aesthetic improvements, changes, or variances.</w:t>
            </w:r>
          </w:p>
        </w:tc>
      </w:tr>
      <w:tr w:rsidR="007151E8" w:rsidRPr="008B687D" w14:paraId="7DD9A5C9" w14:textId="77777777" w:rsidTr="00892F60">
        <w:trPr>
          <w:trHeight w:val="420"/>
        </w:trPr>
        <w:tc>
          <w:tcPr>
            <w:tcW w:w="10080" w:type="dxa"/>
            <w:tcBorders>
              <w:top w:val="nil"/>
              <w:left w:val="single" w:sz="4" w:space="0" w:color="DDEBF7"/>
              <w:bottom w:val="single" w:sz="4" w:space="0" w:color="DDEBF7"/>
              <w:right w:val="single" w:sz="4" w:space="0" w:color="DDEBF7"/>
            </w:tcBorders>
            <w:shd w:val="clear" w:color="000000" w:fill="1F4E78"/>
            <w:hideMark/>
          </w:tcPr>
          <w:p w14:paraId="63BA519B" w14:textId="77777777" w:rsidR="007151E8" w:rsidRPr="008B687D" w:rsidRDefault="007151E8" w:rsidP="00892F60">
            <w:pPr>
              <w:spacing w:after="0" w:line="240" w:lineRule="auto"/>
              <w:rPr>
                <w:rFonts w:ascii="Calibri Light" w:eastAsia="Times New Roman" w:hAnsi="Calibri Light" w:cs="Calibri Light"/>
                <w:b/>
                <w:bCs/>
                <w:color w:val="FFFFFF"/>
                <w:sz w:val="32"/>
                <w:szCs w:val="32"/>
              </w:rPr>
            </w:pPr>
            <w:r w:rsidRPr="008B687D">
              <w:rPr>
                <w:rFonts w:ascii="Calibri Light" w:eastAsia="Times New Roman" w:hAnsi="Calibri Light" w:cs="Calibri Light"/>
                <w:b/>
                <w:bCs/>
                <w:color w:val="FFFFFF"/>
                <w:sz w:val="32"/>
                <w:szCs w:val="32"/>
              </w:rPr>
              <w:t>FINANCIAL MANAGEMENT (20%)</w:t>
            </w:r>
          </w:p>
        </w:tc>
      </w:tr>
      <w:tr w:rsidR="007151E8" w:rsidRPr="008B687D" w14:paraId="77CE4651" w14:textId="77777777" w:rsidTr="00892F60">
        <w:trPr>
          <w:trHeight w:val="1500"/>
        </w:trPr>
        <w:tc>
          <w:tcPr>
            <w:tcW w:w="10080" w:type="dxa"/>
            <w:tcBorders>
              <w:top w:val="nil"/>
              <w:left w:val="single" w:sz="4" w:space="0" w:color="DDEBF7"/>
              <w:bottom w:val="single" w:sz="4" w:space="0" w:color="DDEBF7"/>
              <w:right w:val="single" w:sz="4" w:space="0" w:color="DDEBF7"/>
            </w:tcBorders>
            <w:shd w:val="clear" w:color="000000" w:fill="1F4E78"/>
            <w:hideMark/>
          </w:tcPr>
          <w:p w14:paraId="21BA013D" w14:textId="77777777" w:rsidR="007151E8" w:rsidRPr="008B687D" w:rsidRDefault="007151E8" w:rsidP="00892F60">
            <w:pPr>
              <w:spacing w:after="0" w:line="240" w:lineRule="auto"/>
              <w:rPr>
                <w:rFonts w:ascii="Calibri Light" w:eastAsia="Times New Roman" w:hAnsi="Calibri Light" w:cs="Calibri Light"/>
                <w:color w:val="FFFFFF"/>
              </w:rPr>
            </w:pPr>
            <w:r w:rsidRPr="008B687D">
              <w:rPr>
                <w:rFonts w:ascii="Calibri Light" w:eastAsia="Times New Roman" w:hAnsi="Calibri Light" w:cs="Calibri Light"/>
                <w:color w:val="FFFFFF"/>
              </w:rPr>
              <w:t>An association manager must demonstrate competence in the administration and stewardship of association finances, including assessment collection, budgeting, investments, and reserve/sinking funds, to (a) ensure budgets and other financial documents are prepared accurately, (b) promote the financial well-being and stability of the association, (c) help the board and association understand the financial condition of the association, (d) build positive relationships that foster trust and confidence with the board and association members, (e) maintain awareness of financial trends that might impact the association, and (f) ensure funds are adequately protected and secured in accordance with board policy and insurance requirements.</w:t>
            </w:r>
          </w:p>
        </w:tc>
      </w:tr>
      <w:tr w:rsidR="007151E8" w:rsidRPr="008B687D" w14:paraId="411ED633"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3F6C845E" w14:textId="77777777"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KNOWLEDGE STATEMENTS</w:t>
            </w:r>
          </w:p>
        </w:tc>
      </w:tr>
      <w:tr w:rsidR="007151E8" w:rsidRPr="008B687D" w14:paraId="0D8E3BA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70C4A6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metrics for evaluating the financial positions of community associations </w:t>
            </w:r>
          </w:p>
        </w:tc>
      </w:tr>
      <w:tr w:rsidR="007151E8" w:rsidRPr="008B687D" w14:paraId="2ACC6F5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492B23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of accounting </w:t>
            </w:r>
          </w:p>
        </w:tc>
      </w:tr>
      <w:tr w:rsidR="007151E8" w:rsidRPr="008B687D" w14:paraId="389BBF89"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FD8BB7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accounting standards </w:t>
            </w:r>
          </w:p>
        </w:tc>
      </w:tr>
      <w:tr w:rsidR="007151E8" w:rsidRPr="008B687D" w14:paraId="5608539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A0FAA62"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lastRenderedPageBreak/>
              <w:t xml:space="preserve">Knowledge of the types and purposes of accounting methods </w:t>
            </w:r>
          </w:p>
        </w:tc>
      </w:tr>
      <w:tr w:rsidR="007151E8" w:rsidRPr="008B687D" w14:paraId="74544BA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87C51A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causes and impact of unrecoverable debts</w:t>
            </w:r>
          </w:p>
        </w:tc>
      </w:tr>
      <w:tr w:rsidR="007151E8" w:rsidRPr="008B687D" w14:paraId="4490103F"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0E822E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reporting requirements for association fund types </w:t>
            </w:r>
          </w:p>
        </w:tc>
      </w:tr>
      <w:tr w:rsidR="007151E8" w:rsidRPr="008B687D" w14:paraId="63BF7101"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5CC254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contents, and purposes of financial reports and records </w:t>
            </w:r>
          </w:p>
        </w:tc>
      </w:tr>
      <w:tr w:rsidR="007151E8" w:rsidRPr="008B687D" w14:paraId="58613DD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25F2D7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tax filing responsibilities and filing options for community associations</w:t>
            </w:r>
          </w:p>
        </w:tc>
      </w:tr>
      <w:tr w:rsidR="007151E8" w:rsidRPr="008B687D" w14:paraId="43B0250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58D959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of budget formulation </w:t>
            </w:r>
          </w:p>
        </w:tc>
      </w:tr>
      <w:tr w:rsidR="007151E8" w:rsidRPr="008B687D" w14:paraId="2E9002D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7889A3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threats to budget estimation </w:t>
            </w:r>
          </w:p>
        </w:tc>
      </w:tr>
      <w:tr w:rsidR="007151E8" w:rsidRPr="008B687D" w14:paraId="6E33708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5C914E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types and purposes of association budgets</w:t>
            </w:r>
          </w:p>
        </w:tc>
      </w:tr>
      <w:tr w:rsidR="007151E8" w:rsidRPr="008B687D" w14:paraId="71A7E81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670D4F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methods for conducting replacement reserve studies/long-term fund analysis/sinking fund studies</w:t>
            </w:r>
          </w:p>
        </w:tc>
      </w:tr>
      <w:tr w:rsidR="007151E8" w:rsidRPr="008B687D" w14:paraId="501BD38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180AA8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financial assets and liabilities </w:t>
            </w:r>
          </w:p>
        </w:tc>
      </w:tr>
      <w:tr w:rsidR="007151E8" w:rsidRPr="008B687D" w14:paraId="4FA4E5A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68F39A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investment opportunities available to associations </w:t>
            </w:r>
          </w:p>
        </w:tc>
      </w:tr>
      <w:tr w:rsidR="007151E8" w:rsidRPr="008B687D" w14:paraId="1E877B76"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40A69B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investment principles and terminology </w:t>
            </w:r>
          </w:p>
        </w:tc>
      </w:tr>
      <w:tr w:rsidR="007151E8" w:rsidRPr="008B687D" w14:paraId="3DC6AD2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E9824C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income sources for community associations </w:t>
            </w:r>
          </w:p>
        </w:tc>
      </w:tr>
      <w:tr w:rsidR="007151E8" w:rsidRPr="008B687D" w14:paraId="6E6F76D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9ED44A7"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methods for raising and collecting money for the association </w:t>
            </w:r>
          </w:p>
        </w:tc>
      </w:tr>
      <w:tr w:rsidR="007151E8" w:rsidRPr="008B687D" w14:paraId="2E26546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52EC41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purposes and characteristics of audits, reviews, and compilations</w:t>
            </w:r>
          </w:p>
        </w:tc>
      </w:tr>
      <w:tr w:rsidR="007151E8" w:rsidRPr="008B687D" w14:paraId="4B2C887D"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0F806197" w14:textId="5729BE22"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TASK STATEMENTS</w:t>
            </w:r>
          </w:p>
        </w:tc>
      </w:tr>
      <w:tr w:rsidR="007151E8" w:rsidRPr="008B687D" w14:paraId="06149A8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067D0AD1"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Coordinate and/or monitor the implementation of board-approved financial plans, policies, and procedures.</w:t>
            </w:r>
          </w:p>
        </w:tc>
      </w:tr>
      <w:tr w:rsidR="007151E8" w:rsidRPr="008B687D" w14:paraId="2D2CE28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F78825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specialists) to conduct and/or update reserve studies.</w:t>
            </w:r>
          </w:p>
        </w:tc>
      </w:tr>
      <w:tr w:rsidR="007151E8" w:rsidRPr="008B687D" w14:paraId="3ADAB75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DFC15B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and/or guidance to the board on best practices related to reserve fund planning.</w:t>
            </w:r>
          </w:p>
        </w:tc>
      </w:tr>
      <w:tr w:rsidR="007151E8" w:rsidRPr="008B687D" w14:paraId="666CF6BC"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73B79F73"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and/or guidance to the board on the implementation of the physical recommendations from the reserve study (e.g., identifying major capital improvements needed in the community).</w:t>
            </w:r>
          </w:p>
        </w:tc>
      </w:tr>
      <w:tr w:rsidR="007151E8" w:rsidRPr="008B687D" w14:paraId="7BAE6ED8"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7D428327"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and/or guidance to the board on the implementation of the financial recommendations from the reserve study (e.g., identifying and implementing funding sources, reallocating funds, identifying reserve expenditures required to preserve the community).</w:t>
            </w:r>
          </w:p>
        </w:tc>
      </w:tr>
      <w:tr w:rsidR="007151E8" w:rsidRPr="008B687D" w14:paraId="28F73C4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DDF421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Monitor the implementation of the investment policies and/or procedures adopted by the board.</w:t>
            </w:r>
          </w:p>
        </w:tc>
      </w:tr>
      <w:tr w:rsidR="007151E8" w:rsidRPr="008B687D" w14:paraId="0BCFDA7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2FD14EFC"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Collect and analyze financial data and information.</w:t>
            </w:r>
          </w:p>
        </w:tc>
      </w:tr>
      <w:tr w:rsidR="007151E8" w:rsidRPr="008B687D" w14:paraId="370FFF04"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3FFBB9B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qualified parties (e.g., accountants, controllers, bookkeepers) to prepare and/or review financial statements and reports (e.g., balance sheets, statements of revenue and expenses, accounts payable aging report, general ledger detail, bank reconciliations).</w:t>
            </w:r>
          </w:p>
        </w:tc>
      </w:tr>
      <w:tr w:rsidR="007151E8" w:rsidRPr="008B687D" w14:paraId="36AEB1A6"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BB70102"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Analyze financial data (e.g., revenue, expenditures).</w:t>
            </w:r>
          </w:p>
        </w:tc>
      </w:tr>
      <w:tr w:rsidR="007151E8" w:rsidRPr="008B687D" w14:paraId="05590939"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6E1F3F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estimates of projected revenue and expenses.</w:t>
            </w:r>
          </w:p>
        </w:tc>
      </w:tr>
      <w:tr w:rsidR="007151E8" w:rsidRPr="008B687D" w14:paraId="415B136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3C395E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Investigate and document accounting errors, discrepancies, and variances.</w:t>
            </w:r>
          </w:p>
        </w:tc>
      </w:tr>
      <w:tr w:rsidR="007151E8" w:rsidRPr="008B687D" w14:paraId="73BED63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E04A87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variance reports for the board (e.g., actual versus budgeted).</w:t>
            </w:r>
          </w:p>
        </w:tc>
      </w:tr>
      <w:tr w:rsidR="007151E8" w:rsidRPr="008B687D" w14:paraId="7A82423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7B2CA351"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Monitor and control the use of financial resources.</w:t>
            </w:r>
          </w:p>
        </w:tc>
      </w:tr>
      <w:tr w:rsidR="007151E8" w:rsidRPr="008B687D" w14:paraId="188D99E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FFFFFF"/>
            <w:hideMark/>
          </w:tcPr>
          <w:p w14:paraId="72328E6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association budgets.</w:t>
            </w:r>
          </w:p>
        </w:tc>
      </w:tr>
      <w:tr w:rsidR="007151E8" w:rsidRPr="008B687D" w14:paraId="549A6ACF"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B54F07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Submit association invoices and/or bills to the board for authorization of payment.</w:t>
            </w:r>
          </w:p>
        </w:tc>
      </w:tr>
      <w:tr w:rsidR="007151E8" w:rsidRPr="008B687D" w14:paraId="03BC6A19"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300760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Review and approve payment of invoices and/or bills (e.g., ensuring contract amount matches amount billed).</w:t>
            </w:r>
          </w:p>
        </w:tc>
      </w:tr>
      <w:tr w:rsidR="007151E8" w:rsidRPr="008B687D" w14:paraId="7FB4A991"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E3EF11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Process reimbursement for association expenses (e.g., committee expenses, supplies for board meetings).</w:t>
            </w:r>
          </w:p>
        </w:tc>
      </w:tr>
      <w:tr w:rsidR="007151E8" w:rsidRPr="008B687D" w14:paraId="5A9E5124"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50DA1D2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and/or guidance to the board on best practices for reviewing/utilizing financial statements and reports (e.g., balance sheets, statements of revenue and expenses, accounts payable aging report, general ledger detail, bank reconciliations).</w:t>
            </w:r>
          </w:p>
        </w:tc>
      </w:tr>
      <w:tr w:rsidR="007151E8" w:rsidRPr="008B687D" w14:paraId="1D55C59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69BAD5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lastRenderedPageBreak/>
              <w:t>Coordinate with professional accountants to process the association</w:t>
            </w:r>
            <w:r>
              <w:rPr>
                <w:rFonts w:ascii="Calibri Light" w:eastAsia="Times New Roman" w:hAnsi="Calibri Light" w:cs="Calibri Light"/>
                <w:color w:val="000000"/>
              </w:rPr>
              <w:t>’</w:t>
            </w:r>
            <w:r w:rsidRPr="008B687D">
              <w:rPr>
                <w:rFonts w:ascii="Calibri Light" w:eastAsia="Times New Roman" w:hAnsi="Calibri Light" w:cs="Calibri Light"/>
                <w:color w:val="000000"/>
              </w:rPr>
              <w:t>s audit/review and tax filing documentation.</w:t>
            </w:r>
          </w:p>
        </w:tc>
      </w:tr>
      <w:tr w:rsidR="007151E8" w:rsidRPr="008B687D" w14:paraId="0AE2230C" w14:textId="77777777" w:rsidTr="00892F60">
        <w:trPr>
          <w:trHeight w:val="420"/>
        </w:trPr>
        <w:tc>
          <w:tcPr>
            <w:tcW w:w="10080" w:type="dxa"/>
            <w:tcBorders>
              <w:top w:val="nil"/>
              <w:left w:val="single" w:sz="4" w:space="0" w:color="DDEBF7"/>
              <w:bottom w:val="single" w:sz="4" w:space="0" w:color="DDEBF7"/>
              <w:right w:val="single" w:sz="4" w:space="0" w:color="DDEBF7"/>
            </w:tcBorders>
            <w:shd w:val="clear" w:color="000000" w:fill="1F4E78"/>
            <w:hideMark/>
          </w:tcPr>
          <w:p w14:paraId="7E89E34E" w14:textId="77777777" w:rsidR="007151E8" w:rsidRPr="008B687D" w:rsidRDefault="007151E8" w:rsidP="00892F60">
            <w:pPr>
              <w:spacing w:after="0" w:line="240" w:lineRule="auto"/>
              <w:rPr>
                <w:rFonts w:ascii="Calibri Light" w:eastAsia="Times New Roman" w:hAnsi="Calibri Light" w:cs="Calibri Light"/>
                <w:b/>
                <w:bCs/>
                <w:color w:val="FFFFFF"/>
                <w:sz w:val="32"/>
                <w:szCs w:val="32"/>
              </w:rPr>
            </w:pPr>
            <w:r w:rsidRPr="008B687D">
              <w:rPr>
                <w:rFonts w:ascii="Calibri Light" w:eastAsia="Times New Roman" w:hAnsi="Calibri Light" w:cs="Calibri Light"/>
                <w:b/>
                <w:bCs/>
                <w:color w:val="FFFFFF"/>
                <w:sz w:val="32"/>
                <w:szCs w:val="32"/>
              </w:rPr>
              <w:t>MEETINGS AND EVENTS (18%)</w:t>
            </w:r>
          </w:p>
        </w:tc>
      </w:tr>
      <w:tr w:rsidR="007151E8" w:rsidRPr="008B687D" w14:paraId="320E88A8" w14:textId="77777777" w:rsidTr="00892F60">
        <w:trPr>
          <w:trHeight w:val="620"/>
        </w:trPr>
        <w:tc>
          <w:tcPr>
            <w:tcW w:w="10080" w:type="dxa"/>
            <w:tcBorders>
              <w:top w:val="nil"/>
              <w:left w:val="single" w:sz="4" w:space="0" w:color="DDEBF7"/>
              <w:bottom w:val="single" w:sz="4" w:space="0" w:color="DDEBF7"/>
              <w:right w:val="single" w:sz="4" w:space="0" w:color="DDEBF7"/>
            </w:tcBorders>
            <w:shd w:val="clear" w:color="000000" w:fill="1F4E78"/>
            <w:hideMark/>
          </w:tcPr>
          <w:p w14:paraId="206732A4" w14:textId="77777777" w:rsidR="007151E8" w:rsidRPr="008B687D" w:rsidRDefault="007151E8" w:rsidP="00892F60">
            <w:pPr>
              <w:spacing w:after="0" w:line="240" w:lineRule="auto"/>
              <w:rPr>
                <w:rFonts w:ascii="Calibri Light" w:eastAsia="Times New Roman" w:hAnsi="Calibri Light" w:cs="Calibri Light"/>
                <w:color w:val="FFFFFF"/>
              </w:rPr>
            </w:pPr>
            <w:r w:rsidRPr="008B687D">
              <w:rPr>
                <w:rFonts w:ascii="Calibri Light" w:eastAsia="Times New Roman" w:hAnsi="Calibri Light" w:cs="Calibri Light"/>
                <w:color w:val="FFFFFF"/>
              </w:rPr>
              <w:t>An association manager must demonstrate competence in the preparation, facilitation, and documentation of meetings and events, including board meetings, membership meetings, and elections, to (a) ensure the board maintains awareness of current issues that impact the community, (b) ensure meetings are organized, efficient, and effective, (c) build trust and confidence with the board, (d) promote timely decision-making on issues that impact the community, and (e) provide the board with information and guidance to render informed decisions on behalf of the association.</w:t>
            </w:r>
          </w:p>
        </w:tc>
      </w:tr>
      <w:tr w:rsidR="007151E8" w:rsidRPr="008B687D" w14:paraId="1CB8F26D"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729D6F04" w14:textId="77777777"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KNOWLEDGE STATEMENTS</w:t>
            </w:r>
          </w:p>
        </w:tc>
      </w:tr>
      <w:tr w:rsidR="007151E8" w:rsidRPr="008B687D" w14:paraId="6E443E5C"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E3910B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of group dynamics </w:t>
            </w:r>
          </w:p>
        </w:tc>
      </w:tr>
      <w:tr w:rsidR="007151E8" w:rsidRPr="008B687D" w14:paraId="21EBA316"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B193AA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procedures for recalling/removing board members and officers of the board</w:t>
            </w:r>
          </w:p>
        </w:tc>
      </w:tr>
      <w:tr w:rsidR="007151E8" w:rsidRPr="008B687D" w14:paraId="078F7AD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7DC3FF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procedures for nominating board member candidates</w:t>
            </w:r>
          </w:p>
        </w:tc>
      </w:tr>
      <w:tr w:rsidR="007151E8" w:rsidRPr="008B687D" w14:paraId="0FCBD5B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668713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procedures for conducting board member elections </w:t>
            </w:r>
          </w:p>
        </w:tc>
      </w:tr>
      <w:tr w:rsidR="007151E8" w:rsidRPr="008B687D" w14:paraId="2485B33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9D1E68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election materials and tools </w:t>
            </w:r>
          </w:p>
        </w:tc>
      </w:tr>
      <w:tr w:rsidR="007151E8" w:rsidRPr="008B687D" w14:paraId="0496767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8392D9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principles and procedures for recording minutes at board meetings</w:t>
            </w:r>
          </w:p>
        </w:tc>
      </w:tr>
      <w:tr w:rsidR="007151E8" w:rsidRPr="008B687D" w14:paraId="582E9DA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B4C463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contents, and purposes of supporting documentation for association meetings </w:t>
            </w:r>
          </w:p>
        </w:tc>
      </w:tr>
      <w:tr w:rsidR="007151E8" w:rsidRPr="008B687D" w14:paraId="584D31F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F62B1D7"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contents and purposes of management reports </w:t>
            </w:r>
          </w:p>
        </w:tc>
      </w:tr>
      <w:tr w:rsidR="007151E8" w:rsidRPr="008B687D" w14:paraId="6532947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483892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procedures for calling association meetings </w:t>
            </w:r>
          </w:p>
        </w:tc>
      </w:tr>
      <w:tr w:rsidR="007151E8" w:rsidRPr="008B687D" w14:paraId="56F96ADF"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0772CA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and procedures for conducting association meetings </w:t>
            </w:r>
          </w:p>
        </w:tc>
      </w:tr>
      <w:tr w:rsidR="007151E8" w:rsidRPr="008B687D" w14:paraId="5B9D913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985C32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principles and procedures for conducting executive/closed session meetings of the board</w:t>
            </w:r>
          </w:p>
        </w:tc>
      </w:tr>
      <w:tr w:rsidR="007151E8" w:rsidRPr="008B687D" w14:paraId="753713E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6D85B6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meeting facilitation techniques </w:t>
            </w:r>
          </w:p>
        </w:tc>
      </w:tr>
      <w:tr w:rsidR="007151E8" w:rsidRPr="008B687D" w14:paraId="02D6569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D04239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association meetings </w:t>
            </w:r>
          </w:p>
        </w:tc>
      </w:tr>
      <w:tr w:rsidR="007151E8" w:rsidRPr="008B687D" w14:paraId="2FD37DD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3C38BB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community events offered by community associations </w:t>
            </w:r>
          </w:p>
        </w:tc>
      </w:tr>
      <w:tr w:rsidR="007151E8" w:rsidRPr="008B687D" w14:paraId="1F01E0D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F8F7ED7"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presentation techniques </w:t>
            </w:r>
          </w:p>
        </w:tc>
      </w:tr>
      <w:tr w:rsidR="007151E8" w:rsidRPr="008B687D" w14:paraId="24FDFCDF"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261C4133" w14:textId="1F2CD597"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TASK STATEMENTS</w:t>
            </w:r>
          </w:p>
        </w:tc>
      </w:tr>
      <w:tr w:rsidR="007151E8" w:rsidRPr="008B687D" w14:paraId="6ABC162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3EDACB75"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Prepare for association elections.</w:t>
            </w:r>
          </w:p>
        </w:tc>
      </w:tr>
      <w:tr w:rsidR="007151E8" w:rsidRPr="008B687D" w14:paraId="71D5114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CABB1E9"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Verify association members</w:t>
            </w:r>
            <w:r>
              <w:rPr>
                <w:rFonts w:ascii="Calibri Light" w:eastAsia="Times New Roman" w:hAnsi="Calibri Light" w:cs="Calibri Light"/>
                <w:color w:val="000000"/>
              </w:rPr>
              <w:t>’</w:t>
            </w:r>
            <w:r w:rsidRPr="008B687D">
              <w:rPr>
                <w:rFonts w:ascii="Calibri Light" w:eastAsia="Times New Roman" w:hAnsi="Calibri Light" w:cs="Calibri Light"/>
                <w:color w:val="000000"/>
              </w:rPr>
              <w:t xml:space="preserve"> eligibility to participate in elections.</w:t>
            </w:r>
          </w:p>
        </w:tc>
      </w:tr>
      <w:tr w:rsidR="007151E8" w:rsidRPr="008B687D" w14:paraId="30B895A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603F41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Assign/Appoint registrars, inspectors of election, or ballot counters for association elections.</w:t>
            </w:r>
          </w:p>
        </w:tc>
      </w:tr>
      <w:tr w:rsidR="007151E8" w:rsidRPr="008B687D" w14:paraId="31345CB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4516249"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Collect and process election ballots.</w:t>
            </w:r>
          </w:p>
        </w:tc>
      </w:tr>
      <w:tr w:rsidR="007151E8" w:rsidRPr="008B687D" w14:paraId="62A5144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40D5BC49"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Prepare for association meetings and/or community events.</w:t>
            </w:r>
          </w:p>
        </w:tc>
      </w:tr>
      <w:tr w:rsidR="007151E8" w:rsidRPr="008B687D" w14:paraId="15E5722C"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2071CB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and/or update calendars for meetings and/or events (e.g., board meetings, membership meetings, parties, fundraisers, networking events).</w:t>
            </w:r>
          </w:p>
        </w:tc>
      </w:tr>
      <w:tr w:rsidR="007151E8" w:rsidRPr="008B687D" w14:paraId="7505E55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E59C5C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Reserve and/or confirm venues and spaces for community events (e.g., contacting venue staff, confirming attendee registration).</w:t>
            </w:r>
          </w:p>
        </w:tc>
      </w:tr>
      <w:tr w:rsidR="007151E8" w:rsidRPr="008B687D" w14:paraId="6AF0432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E3C50A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and distribute meeting notices, agendas, and/or schedules.</w:t>
            </w:r>
          </w:p>
        </w:tc>
      </w:tr>
      <w:tr w:rsidR="007151E8" w:rsidRPr="008B687D" w14:paraId="393DDEB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E4E346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and distribute packets for board meetings (e.g., agenda, management report, prior meeting minutes, financial report, memos, correspondence, action item lists).</w:t>
            </w:r>
          </w:p>
        </w:tc>
      </w:tr>
      <w:tr w:rsidR="007151E8" w:rsidRPr="008B687D" w14:paraId="0AD84CC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594DC6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the attendance of qualified parties (e.g., reserve specialists, lawyers, insurance agent, auditors, vendors) at board and/or membership meetings.</w:t>
            </w:r>
          </w:p>
        </w:tc>
      </w:tr>
      <w:tr w:rsidR="007151E8" w:rsidRPr="008B687D" w14:paraId="4183F95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7068E0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venues and spaces for meetings and/or events (e.g., purchasing materials, arranging furniture, setting up audio and/or video equipment).</w:t>
            </w:r>
          </w:p>
        </w:tc>
      </w:tr>
      <w:tr w:rsidR="007151E8" w:rsidRPr="008B687D" w14:paraId="12CD817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F02358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lastRenderedPageBreak/>
              <w:t>Prepare registration materials for meetings, elections, and/or events (e.g., rosters, sign-in sheets, signature cards).</w:t>
            </w:r>
          </w:p>
        </w:tc>
      </w:tr>
      <w:tr w:rsidR="007151E8" w:rsidRPr="008B687D" w14:paraId="20F66C1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0EBCBC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Calculate and/or confirm quorums for board and/or membership meetings.</w:t>
            </w:r>
          </w:p>
        </w:tc>
      </w:tr>
      <w:tr w:rsidR="007151E8" w:rsidRPr="008B687D" w14:paraId="14241FA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89C6D9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Conduct/Facilitate orientation programs for new board members.</w:t>
            </w:r>
          </w:p>
        </w:tc>
      </w:tr>
      <w:tr w:rsidR="007151E8" w:rsidRPr="008B687D" w14:paraId="347037B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48DF2A8D"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Facilitate or conduct board and/or membership meetings.</w:t>
            </w:r>
          </w:p>
        </w:tc>
      </w:tr>
      <w:tr w:rsidR="007151E8" w:rsidRPr="008B687D" w14:paraId="2871F03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01749A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Direct or conduct board and/or membership meetings (e.g., obtaining and assigning the floor, facilitating homeowner forum, calling for motions).</w:t>
            </w:r>
          </w:p>
        </w:tc>
      </w:tr>
      <w:tr w:rsidR="007151E8" w:rsidRPr="008B687D" w14:paraId="6BEBDD8F"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3618AE8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Assist the board in directing and/or conducting board and/or membership meetings (e.g., providing information about past decisions, monitoring time spent on each topic, adhering to meeting rules, responding to disruptions).</w:t>
            </w:r>
          </w:p>
        </w:tc>
      </w:tr>
      <w:tr w:rsidR="007151E8" w:rsidRPr="008B687D" w14:paraId="52F4B3E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29FAE7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Document meeting minutes.</w:t>
            </w:r>
          </w:p>
        </w:tc>
      </w:tr>
      <w:tr w:rsidR="007151E8" w:rsidRPr="008B687D" w14:paraId="733959B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0A70A0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and/or update lists of action items based on decisions made by the board.</w:t>
            </w:r>
          </w:p>
        </w:tc>
      </w:tr>
      <w:tr w:rsidR="007151E8" w:rsidRPr="008B687D" w14:paraId="4185AE5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A343FE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Deliver presentations at board and/or membership meetings on topics that impact the association.</w:t>
            </w:r>
          </w:p>
        </w:tc>
      </w:tr>
      <w:tr w:rsidR="007151E8" w:rsidRPr="008B687D" w14:paraId="350C818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07DCC1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and/or guidance to the board and/or association membership on meetings, elections, and/or events (e.g., requirements, procedures).</w:t>
            </w:r>
          </w:p>
        </w:tc>
      </w:tr>
      <w:tr w:rsidR="007151E8" w:rsidRPr="008B687D" w14:paraId="21D77993" w14:textId="77777777" w:rsidTr="00892F60">
        <w:trPr>
          <w:trHeight w:val="420"/>
        </w:trPr>
        <w:tc>
          <w:tcPr>
            <w:tcW w:w="10080" w:type="dxa"/>
            <w:tcBorders>
              <w:top w:val="nil"/>
              <w:left w:val="single" w:sz="4" w:space="0" w:color="DDEBF7"/>
              <w:bottom w:val="single" w:sz="4" w:space="0" w:color="DDEBF7"/>
              <w:right w:val="single" w:sz="4" w:space="0" w:color="DDEBF7"/>
            </w:tcBorders>
            <w:shd w:val="clear" w:color="000000" w:fill="1F4E78"/>
            <w:hideMark/>
          </w:tcPr>
          <w:p w14:paraId="3BD2D238" w14:textId="77777777" w:rsidR="007151E8" w:rsidRPr="008B687D" w:rsidRDefault="007151E8" w:rsidP="00892F60">
            <w:pPr>
              <w:spacing w:after="0" w:line="240" w:lineRule="auto"/>
              <w:rPr>
                <w:rFonts w:ascii="Calibri Light" w:eastAsia="Times New Roman" w:hAnsi="Calibri Light" w:cs="Calibri Light"/>
                <w:b/>
                <w:bCs/>
                <w:color w:val="FFFFFF"/>
                <w:sz w:val="32"/>
                <w:szCs w:val="32"/>
              </w:rPr>
            </w:pPr>
            <w:r w:rsidRPr="008B687D">
              <w:rPr>
                <w:rFonts w:ascii="Calibri Light" w:eastAsia="Times New Roman" w:hAnsi="Calibri Light" w:cs="Calibri Light"/>
                <w:b/>
                <w:bCs/>
                <w:color w:val="FFFFFF"/>
                <w:sz w:val="32"/>
                <w:szCs w:val="32"/>
              </w:rPr>
              <w:t>RISK MANAGEMENT (15%)</w:t>
            </w:r>
          </w:p>
        </w:tc>
      </w:tr>
      <w:tr w:rsidR="007151E8" w:rsidRPr="008B687D" w14:paraId="0E07841A" w14:textId="77777777" w:rsidTr="00892F60">
        <w:trPr>
          <w:trHeight w:val="900"/>
        </w:trPr>
        <w:tc>
          <w:tcPr>
            <w:tcW w:w="10080" w:type="dxa"/>
            <w:tcBorders>
              <w:top w:val="nil"/>
              <w:left w:val="single" w:sz="4" w:space="0" w:color="DDEBF7"/>
              <w:bottom w:val="single" w:sz="4" w:space="0" w:color="DDEBF7"/>
              <w:right w:val="single" w:sz="4" w:space="0" w:color="DDEBF7"/>
            </w:tcBorders>
            <w:shd w:val="clear" w:color="000000" w:fill="1F4E78"/>
            <w:hideMark/>
          </w:tcPr>
          <w:p w14:paraId="625FBDF6" w14:textId="77777777" w:rsidR="007151E8" w:rsidRPr="008B687D" w:rsidRDefault="007151E8" w:rsidP="00892F60">
            <w:pPr>
              <w:spacing w:after="0" w:line="240" w:lineRule="auto"/>
              <w:rPr>
                <w:rFonts w:ascii="Calibri Light" w:eastAsia="Times New Roman" w:hAnsi="Calibri Light" w:cs="Calibri Light"/>
                <w:color w:val="FFFFFF"/>
              </w:rPr>
            </w:pPr>
            <w:r w:rsidRPr="008B687D">
              <w:rPr>
                <w:rFonts w:ascii="Calibri Light" w:eastAsia="Times New Roman" w:hAnsi="Calibri Light" w:cs="Calibri Light"/>
                <w:color w:val="FFFFFF"/>
              </w:rPr>
              <w:t>An association manager must demonstrate competence in the coordination and/or implementation of internal controls, including risk assessment and analysis, auditing, reporting, emergency response, and insurance, to (a) promote the financial well-being and stability of the association, (b) mitigate the association</w:t>
            </w:r>
            <w:r>
              <w:rPr>
                <w:rFonts w:ascii="Calibri Light" w:eastAsia="Times New Roman" w:hAnsi="Calibri Light" w:cs="Calibri Light"/>
                <w:color w:val="FFFFFF"/>
              </w:rPr>
              <w:t>’</w:t>
            </w:r>
            <w:r w:rsidRPr="008B687D">
              <w:rPr>
                <w:rFonts w:ascii="Calibri Light" w:eastAsia="Times New Roman" w:hAnsi="Calibri Light" w:cs="Calibri Light"/>
                <w:color w:val="FFFFFF"/>
              </w:rPr>
              <w:t>s risk exposure and liability, (c) protect assets, people, and property, and (d) identify when to rely on external experts and specialists (e.g., insurance agents, risk specialists).</w:t>
            </w:r>
          </w:p>
        </w:tc>
      </w:tr>
      <w:tr w:rsidR="007151E8" w:rsidRPr="008B687D" w14:paraId="71F1591D"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516384FA" w14:textId="77777777"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KNOWLEDGE STATEMENTS</w:t>
            </w:r>
          </w:p>
        </w:tc>
      </w:tr>
      <w:tr w:rsidR="007151E8" w:rsidRPr="008B687D" w14:paraId="0C2226C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2F495C2"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of insurance </w:t>
            </w:r>
          </w:p>
        </w:tc>
      </w:tr>
      <w:tr w:rsidR="007151E8" w:rsidRPr="008B687D" w14:paraId="7A59714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537022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types and purposes of insurance coverages, endorsements, exclusions, and clauses</w:t>
            </w:r>
          </w:p>
        </w:tc>
      </w:tr>
      <w:tr w:rsidR="007151E8" w:rsidRPr="008B687D" w14:paraId="73BACE4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45C4B1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insurance requirements for community associations </w:t>
            </w:r>
          </w:p>
        </w:tc>
      </w:tr>
      <w:tr w:rsidR="007151E8" w:rsidRPr="008B687D" w14:paraId="749C59D1"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088A12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procedures for filing insurance applications and claims</w:t>
            </w:r>
          </w:p>
        </w:tc>
      </w:tr>
      <w:tr w:rsidR="007151E8" w:rsidRPr="008B687D" w14:paraId="72C8838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D2EADA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risk management principles and practices </w:t>
            </w:r>
          </w:p>
        </w:tc>
      </w:tr>
      <w:tr w:rsidR="007151E8" w:rsidRPr="008B687D" w14:paraId="72575CD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16BDF0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financial and accounting controls </w:t>
            </w:r>
          </w:p>
        </w:tc>
      </w:tr>
      <w:tr w:rsidR="007151E8" w:rsidRPr="008B687D" w14:paraId="72462A1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C9098E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internal controls for protecting physical assets </w:t>
            </w:r>
          </w:p>
        </w:tc>
      </w:tr>
      <w:tr w:rsidR="007151E8" w:rsidRPr="008B687D" w14:paraId="3022D96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8C95DD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and procedures for maintaining the security and confidentiality of sensitive information </w:t>
            </w:r>
          </w:p>
        </w:tc>
      </w:tr>
      <w:tr w:rsidR="007151E8" w:rsidRPr="008B687D" w14:paraId="11B0D39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3FB106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purposes and components of disaster management plans</w:t>
            </w:r>
          </w:p>
        </w:tc>
      </w:tr>
      <w:tr w:rsidR="007151E8" w:rsidRPr="008B687D" w14:paraId="7FF86D6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7B182E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environmental issues that impact community associations </w:t>
            </w:r>
          </w:p>
        </w:tc>
      </w:tr>
      <w:tr w:rsidR="007151E8" w:rsidRPr="008B687D" w14:paraId="38051691"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888ED5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exposure to loss that impact community associations </w:t>
            </w:r>
          </w:p>
        </w:tc>
      </w:tr>
      <w:tr w:rsidR="007151E8" w:rsidRPr="008B687D" w14:paraId="3D1BC3B3"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363F7FEF" w14:textId="730B0AB8"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TASK STATEMENTS</w:t>
            </w:r>
          </w:p>
        </w:tc>
      </w:tr>
      <w:tr w:rsidR="007151E8" w:rsidRPr="008B687D" w14:paraId="50C085E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6D2F75A1"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Coordinate risk management activities, projects, or services.</w:t>
            </w:r>
          </w:p>
        </w:tc>
      </w:tr>
      <w:tr w:rsidR="007151E8" w:rsidRPr="008B687D" w14:paraId="3C76B869"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4DD64F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insurance companies, adjusters, other agents of the association) to submit and/or settle insurance claims.</w:t>
            </w:r>
          </w:p>
        </w:tc>
      </w:tr>
      <w:tr w:rsidR="007151E8" w:rsidRPr="008B687D" w14:paraId="1A2E694F"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318D70D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consultants/specialists) to conduct security/safety assessments (e.g., evaluating camera placement/operation, identifying security system need, identifying access control weaknesses, verifying that lighting is operational and adequate).</w:t>
            </w:r>
          </w:p>
        </w:tc>
      </w:tr>
      <w:tr w:rsidR="007151E8" w:rsidRPr="008B687D" w14:paraId="3FE5293A"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018AAB9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consultants/specialists) to implement and/or monitor safeguards/internal controls for mitigating risks and/or threats to the association (e.g., theft, embezzlement, vandalism).</w:t>
            </w:r>
          </w:p>
        </w:tc>
      </w:tr>
      <w:tr w:rsidR="007151E8" w:rsidRPr="008B687D" w14:paraId="1685D13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56B757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lastRenderedPageBreak/>
              <w:t>Procure and/or stock emergency supplies and equipment (e.g., first aid kits, fire extinguishers, radios, defibrillators, wheelchairs).</w:t>
            </w:r>
          </w:p>
        </w:tc>
      </w:tr>
      <w:tr w:rsidR="007151E8" w:rsidRPr="008B687D" w14:paraId="75E3EB6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26B7D7F0"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Coordinate the development, updating, and implementation of risk management policies and procedures.</w:t>
            </w:r>
          </w:p>
        </w:tc>
      </w:tr>
      <w:tr w:rsidR="007151E8" w:rsidRPr="008B687D" w14:paraId="750FBA6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3CB9B4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consultants/specialists) to prepare and/or update risk management policies and procedures.</w:t>
            </w:r>
          </w:p>
        </w:tc>
      </w:tr>
      <w:tr w:rsidR="007151E8" w:rsidRPr="008B687D" w14:paraId="6744EA6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76E8DD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consultants/specialists) to prepare and/or update emergency/disaster management plans.</w:t>
            </w:r>
          </w:p>
        </w:tc>
      </w:tr>
      <w:tr w:rsidR="007151E8" w:rsidRPr="008B687D" w14:paraId="23A92616"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59E0E47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consultants/specialists) to prepare and/or update information security policies and procedures (e.g., data privacy, file retention and destruction, surveillance data).</w:t>
            </w:r>
          </w:p>
        </w:tc>
      </w:tr>
      <w:tr w:rsidR="007151E8" w:rsidRPr="008B687D" w14:paraId="0CC76DB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B26DBB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consultants/specialists) to prepare and/or update facility security policies and procedures.</w:t>
            </w:r>
          </w:p>
        </w:tc>
      </w:tr>
      <w:tr w:rsidR="007151E8" w:rsidRPr="008B687D" w14:paraId="6B00857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59C80F51"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Coordinate risk assessments to identify risks, threats, weaknesses, and other hazards.</w:t>
            </w:r>
          </w:p>
        </w:tc>
      </w:tr>
      <w:tr w:rsidR="007151E8" w:rsidRPr="008B687D" w14:paraId="2AA1F566"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E0D2DC7"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qualified parties (e.g., specialists, service providers) to conduct and document risk and/or threat assessments.</w:t>
            </w:r>
          </w:p>
        </w:tc>
      </w:tr>
      <w:tr w:rsidR="007151E8" w:rsidRPr="008B687D" w14:paraId="756FD18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250162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insurance providers to conduct insurance appraisals.</w:t>
            </w:r>
          </w:p>
        </w:tc>
      </w:tr>
      <w:tr w:rsidR="007151E8" w:rsidRPr="008B687D" w14:paraId="13FA821F"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DC61AAF"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Review insurance policies to ensure they provide coverage that meets requirements set forth in the governing documents.</w:t>
            </w:r>
          </w:p>
        </w:tc>
      </w:tr>
      <w:tr w:rsidR="007151E8" w:rsidRPr="008B687D" w14:paraId="22025BE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0C5E8AE0"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Provide information and/or guidance on risk management principles, practices, and issues.</w:t>
            </w:r>
          </w:p>
        </w:tc>
      </w:tr>
      <w:tr w:rsidR="007151E8" w:rsidRPr="008B687D" w14:paraId="6A23DC0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F8CDDC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Distribute information about insurance policies and limitations of coverage to the board and/or association members.</w:t>
            </w:r>
          </w:p>
        </w:tc>
      </w:tr>
      <w:tr w:rsidR="007151E8" w:rsidRPr="008B687D" w14:paraId="4C3128C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CBBD04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Provide information to association members on their responsibilities for obtaining and maintaining insurance coverage (e.g., liability, property, content, improvements).</w:t>
            </w:r>
          </w:p>
        </w:tc>
      </w:tr>
      <w:tr w:rsidR="007151E8" w:rsidRPr="008B687D" w14:paraId="670F7CDA"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14F71C9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qualified parties (e.g., specialists, service providers) to respond to emergency incidents (e.g., contacting first responders, photographing evidence, contacting restoration services).</w:t>
            </w:r>
          </w:p>
        </w:tc>
      </w:tr>
      <w:tr w:rsidR="007151E8" w:rsidRPr="008B687D" w14:paraId="1E70A53F" w14:textId="77777777" w:rsidTr="00892F60">
        <w:trPr>
          <w:trHeight w:val="420"/>
        </w:trPr>
        <w:tc>
          <w:tcPr>
            <w:tcW w:w="10080" w:type="dxa"/>
            <w:tcBorders>
              <w:top w:val="nil"/>
              <w:left w:val="single" w:sz="4" w:space="0" w:color="DDEBF7"/>
              <w:bottom w:val="single" w:sz="4" w:space="0" w:color="DDEBF7"/>
              <w:right w:val="single" w:sz="4" w:space="0" w:color="DDEBF7"/>
            </w:tcBorders>
            <w:shd w:val="clear" w:color="000000" w:fill="1F4E78"/>
            <w:hideMark/>
          </w:tcPr>
          <w:p w14:paraId="5835AE68" w14:textId="77777777" w:rsidR="007151E8" w:rsidRPr="008B687D" w:rsidRDefault="007151E8" w:rsidP="00892F60">
            <w:pPr>
              <w:spacing w:after="0" w:line="240" w:lineRule="auto"/>
              <w:rPr>
                <w:rFonts w:ascii="Calibri Light" w:eastAsia="Times New Roman" w:hAnsi="Calibri Light" w:cs="Calibri Light"/>
                <w:b/>
                <w:bCs/>
                <w:color w:val="FFFFFF"/>
                <w:sz w:val="32"/>
                <w:szCs w:val="32"/>
              </w:rPr>
            </w:pPr>
            <w:r w:rsidRPr="008B687D">
              <w:rPr>
                <w:rFonts w:ascii="Calibri Light" w:eastAsia="Times New Roman" w:hAnsi="Calibri Light" w:cs="Calibri Light"/>
                <w:b/>
                <w:bCs/>
                <w:color w:val="FFFFFF"/>
                <w:sz w:val="32"/>
                <w:szCs w:val="32"/>
              </w:rPr>
              <w:t>PROPERTY MAINTENANCE (14%)</w:t>
            </w:r>
          </w:p>
        </w:tc>
      </w:tr>
      <w:tr w:rsidR="007151E8" w:rsidRPr="008B687D" w14:paraId="6BCDE842" w14:textId="77777777" w:rsidTr="00892F60">
        <w:trPr>
          <w:trHeight w:val="1200"/>
        </w:trPr>
        <w:tc>
          <w:tcPr>
            <w:tcW w:w="10080" w:type="dxa"/>
            <w:tcBorders>
              <w:top w:val="nil"/>
              <w:left w:val="single" w:sz="4" w:space="0" w:color="DDEBF7"/>
              <w:bottom w:val="single" w:sz="4" w:space="0" w:color="DDEBF7"/>
              <w:right w:val="single" w:sz="4" w:space="0" w:color="DDEBF7"/>
            </w:tcBorders>
            <w:shd w:val="clear" w:color="000000" w:fill="1F4E78"/>
            <w:hideMark/>
          </w:tcPr>
          <w:p w14:paraId="62803714" w14:textId="77777777" w:rsidR="007151E8" w:rsidRPr="008B687D" w:rsidRDefault="007151E8" w:rsidP="00892F60">
            <w:pPr>
              <w:spacing w:after="0" w:line="240" w:lineRule="auto"/>
              <w:rPr>
                <w:rFonts w:ascii="Calibri Light" w:eastAsia="Times New Roman" w:hAnsi="Calibri Light" w:cs="Calibri Light"/>
                <w:color w:val="FFFFFF"/>
              </w:rPr>
            </w:pPr>
            <w:r w:rsidRPr="008B687D">
              <w:rPr>
                <w:rFonts w:ascii="Calibri Light" w:eastAsia="Times New Roman" w:hAnsi="Calibri Light" w:cs="Calibri Light"/>
                <w:color w:val="FFFFFF"/>
              </w:rPr>
              <w:t>An association manager must demonstrate competence in the administration of programs and activities that preserve the operational and physical condition of association property, including site inspections, preventative maintenance, oversight, and timely reporting, to (a) ensure parties entrusted with the care and operation of association assets are held accountable, (b) ensure the board maintains awareness of current issues that impact association assets, (c) promote, protect, and increase property values, (d) mitigate risks from physical hazards, and (e) prevent losses due to deferred maintenance.</w:t>
            </w:r>
          </w:p>
        </w:tc>
      </w:tr>
      <w:tr w:rsidR="007151E8" w:rsidRPr="008B687D" w14:paraId="172A49BD"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55541EB1" w14:textId="77777777"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KNOWLEDGE STATEMENTS</w:t>
            </w:r>
          </w:p>
        </w:tc>
      </w:tr>
      <w:tr w:rsidR="007151E8" w:rsidRPr="008B687D" w14:paraId="71DE0DE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C5B9E8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materials and equipment used for constructing and repairing residential facilities </w:t>
            </w:r>
          </w:p>
        </w:tc>
      </w:tr>
      <w:tr w:rsidR="007151E8" w:rsidRPr="008B687D" w14:paraId="00B86FC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EC7C409"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contents, and purposes of property maintenance reports </w:t>
            </w:r>
          </w:p>
        </w:tc>
      </w:tr>
      <w:tr w:rsidR="007151E8" w:rsidRPr="008B687D" w14:paraId="7C8C090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EA5DFE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purposes and components of property maintenance plans</w:t>
            </w:r>
          </w:p>
        </w:tc>
      </w:tr>
      <w:tr w:rsidR="007151E8" w:rsidRPr="008B687D" w14:paraId="7FC273EC"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343EC0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hazardous and non-hazardous goods used by community associations </w:t>
            </w:r>
          </w:p>
        </w:tc>
      </w:tr>
      <w:tr w:rsidR="007151E8" w:rsidRPr="008B687D" w14:paraId="561DF1C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1E62B7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of facility energy management </w:t>
            </w:r>
          </w:p>
        </w:tc>
      </w:tr>
      <w:tr w:rsidR="007151E8" w:rsidRPr="008B687D" w14:paraId="39D389B6"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5D0798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principles of environmental sustainability </w:t>
            </w:r>
          </w:p>
        </w:tc>
      </w:tr>
      <w:tr w:rsidR="007151E8" w:rsidRPr="008B687D" w14:paraId="35AED2C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356D82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maintenance programs </w:t>
            </w:r>
          </w:p>
        </w:tc>
      </w:tr>
      <w:tr w:rsidR="007151E8" w:rsidRPr="008B687D" w14:paraId="47B489B6"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ED976F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and purposes of maintenance management systems and tools </w:t>
            </w:r>
          </w:p>
        </w:tc>
      </w:tr>
      <w:tr w:rsidR="007151E8" w:rsidRPr="008B687D" w14:paraId="3C2926D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413F19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types of property maintenance activities </w:t>
            </w:r>
          </w:p>
        </w:tc>
      </w:tr>
    </w:tbl>
    <w:p w14:paraId="11C319D6" w14:textId="77777777" w:rsidR="007151E8" w:rsidRDefault="007151E8" w:rsidP="007151E8">
      <w:r>
        <w:br w:type="page"/>
      </w:r>
    </w:p>
    <w:tbl>
      <w:tblPr>
        <w:tblW w:w="10080" w:type="dxa"/>
        <w:tblLook w:val="04A0" w:firstRow="1" w:lastRow="0" w:firstColumn="1" w:lastColumn="0" w:noHBand="0" w:noVBand="1"/>
      </w:tblPr>
      <w:tblGrid>
        <w:gridCol w:w="10080"/>
      </w:tblGrid>
      <w:tr w:rsidR="007151E8" w:rsidRPr="008B687D" w14:paraId="454564F8" w14:textId="77777777" w:rsidTr="00892F60">
        <w:trPr>
          <w:trHeight w:val="315"/>
        </w:trPr>
        <w:tc>
          <w:tcPr>
            <w:tcW w:w="10080" w:type="dxa"/>
            <w:tcBorders>
              <w:top w:val="nil"/>
              <w:left w:val="single" w:sz="4" w:space="0" w:color="DDEBF7"/>
              <w:bottom w:val="single" w:sz="4" w:space="0" w:color="DDEBF7"/>
              <w:right w:val="single" w:sz="4" w:space="0" w:color="DDEBF7"/>
            </w:tcBorders>
            <w:shd w:val="clear" w:color="000000" w:fill="9BC2E6"/>
            <w:hideMark/>
          </w:tcPr>
          <w:p w14:paraId="04C2EE87" w14:textId="6078B75A"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lastRenderedPageBreak/>
              <w:t>TASK STATEMENTS</w:t>
            </w:r>
          </w:p>
        </w:tc>
      </w:tr>
      <w:tr w:rsidR="007151E8" w:rsidRPr="008B687D" w14:paraId="226825A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123F5337"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Conduct and/or coordinate site visits or property inspections.</w:t>
            </w:r>
          </w:p>
        </w:tc>
      </w:tr>
      <w:tr w:rsidR="007151E8" w:rsidRPr="008B687D" w14:paraId="0C51EE7F"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1078FB6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Conduct site visits and/or surveys to identify and list the association</w:t>
            </w:r>
            <w:r>
              <w:rPr>
                <w:rFonts w:ascii="Calibri Light" w:eastAsia="Times New Roman" w:hAnsi="Calibri Light" w:cs="Calibri Light"/>
                <w:color w:val="000000"/>
              </w:rPr>
              <w:t>’</w:t>
            </w:r>
            <w:r w:rsidRPr="008B687D">
              <w:rPr>
                <w:rFonts w:ascii="Calibri Light" w:eastAsia="Times New Roman" w:hAnsi="Calibri Light" w:cs="Calibri Light"/>
                <w:color w:val="000000"/>
              </w:rPr>
              <w:t>s physical assets (e.g., recreation/fitness facilities, swimming pools, maintenance equipment and tools, boilers, parking areas, perimeter walls).</w:t>
            </w:r>
          </w:p>
        </w:tc>
      </w:tr>
      <w:tr w:rsidR="007151E8" w:rsidRPr="008B687D" w14:paraId="68DB6A29"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3E374193"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Conduct site visits and/or property inspections to identify violations of association governing documents (e.g., landscaping alterations, deviations from community standards, unapproved exterior modifications).</w:t>
            </w:r>
          </w:p>
        </w:tc>
      </w:tr>
      <w:tr w:rsidR="007151E8" w:rsidRPr="008B687D" w14:paraId="2AE996DB"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448484D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Conduct site visits and/or property inspections to identify property maintenance needs (e.g., cracked sidewalks, peeling paint, wood rot, broken fences, malfunctioning elevators, rust, cracks in the foundation, leaks, standing water).</w:t>
            </w:r>
          </w:p>
        </w:tc>
      </w:tr>
      <w:tr w:rsidR="007151E8" w:rsidRPr="008B687D" w14:paraId="51AFDA6C"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5E4D2C78"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site visits and/or property inspections with qualified parties (e.g., service providers, the board, committees).</w:t>
            </w:r>
          </w:p>
        </w:tc>
      </w:tr>
      <w:tr w:rsidR="007151E8" w:rsidRPr="008B687D" w14:paraId="645192E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25B517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Conduct site visits to evaluate the progress and/or completion of maintenance activities/projects.</w:t>
            </w:r>
          </w:p>
        </w:tc>
      </w:tr>
      <w:tr w:rsidR="007151E8" w:rsidRPr="008B687D" w14:paraId="76E6E79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287DA31A"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Direct and/or coordinate property maintenance activities, projects, or services.</w:t>
            </w:r>
          </w:p>
        </w:tc>
      </w:tr>
      <w:tr w:rsidR="007151E8" w:rsidRPr="008B687D" w14:paraId="748DBEC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34FB98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and/or update property maintenance plans, schedules, calendars, and/or responsibility charts.</w:t>
            </w:r>
          </w:p>
        </w:tc>
      </w:tr>
      <w:tr w:rsidR="007151E8" w:rsidRPr="008B687D" w14:paraId="2F02AEE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CDC6B0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and/or update maintenance and operational processes and procedures.</w:t>
            </w:r>
          </w:p>
        </w:tc>
      </w:tr>
      <w:tr w:rsidR="007151E8" w:rsidRPr="008B687D" w14:paraId="3E57A97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4FCB926"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qualified parties (e.g., service providers, specialists) to develop specifications for maintenance projects and tasks.</w:t>
            </w:r>
          </w:p>
        </w:tc>
      </w:tr>
      <w:tr w:rsidR="007151E8" w:rsidRPr="008B687D" w14:paraId="6B11CF3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40E1393"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Direct and/or coordinate with service providers to perform maintenance activities (e.g., routine, preventative, emergency, breakdown).</w:t>
            </w:r>
          </w:p>
        </w:tc>
      </w:tr>
      <w:tr w:rsidR="007151E8" w:rsidRPr="008B687D" w14:paraId="33770376"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547182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Schedule service providers to perform maintenance and repairs.</w:t>
            </w:r>
          </w:p>
        </w:tc>
      </w:tr>
      <w:tr w:rsidR="007151E8" w:rsidRPr="008B687D" w14:paraId="7EDE628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7CC9789"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Investigate maintenance inquiries and requests submitted by association members and/or residents.</w:t>
            </w:r>
          </w:p>
        </w:tc>
      </w:tr>
      <w:tr w:rsidR="007151E8" w:rsidRPr="008B687D" w14:paraId="40A57BF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4767CFB"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work orders for maintenance and/or repair services.</w:t>
            </w:r>
          </w:p>
        </w:tc>
      </w:tr>
      <w:tr w:rsidR="007151E8" w:rsidRPr="008B687D" w14:paraId="2B22F8D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27921B03"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Prepare, compile, and/or or update maintenance documentation.</w:t>
            </w:r>
          </w:p>
        </w:tc>
      </w:tr>
      <w:tr w:rsidR="007151E8" w:rsidRPr="008B687D" w14:paraId="03DC9BE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7B207A7"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property inspection reports and/or site visit reports.</w:t>
            </w:r>
          </w:p>
        </w:tc>
      </w:tr>
      <w:tr w:rsidR="007151E8" w:rsidRPr="008B687D" w14:paraId="1EF4053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156186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Compile and/or review property inspection reports developed by service providers.</w:t>
            </w:r>
          </w:p>
        </w:tc>
      </w:tr>
      <w:tr w:rsidR="007151E8" w:rsidRPr="008B687D" w14:paraId="14F52A6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277B205"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Document maintenance inquiries and requests submitted by association members and/or residents.</w:t>
            </w:r>
          </w:p>
        </w:tc>
      </w:tr>
      <w:tr w:rsidR="007151E8" w:rsidRPr="008B687D" w14:paraId="75004EA0"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C68A14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Track maintenance needs, requests, and responses using maintenance management systems.</w:t>
            </w:r>
          </w:p>
        </w:tc>
      </w:tr>
      <w:tr w:rsidR="007151E8" w:rsidRPr="008B687D" w14:paraId="3A0D9F9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7D5398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Monitor and document service providers</w:t>
            </w:r>
            <w:r>
              <w:rPr>
                <w:rFonts w:ascii="Calibri Light" w:eastAsia="Times New Roman" w:hAnsi="Calibri Light" w:cs="Calibri Light"/>
                <w:color w:val="000000"/>
              </w:rPr>
              <w:t>’</w:t>
            </w:r>
            <w:r w:rsidRPr="008B687D">
              <w:rPr>
                <w:rFonts w:ascii="Calibri Light" w:eastAsia="Times New Roman" w:hAnsi="Calibri Light" w:cs="Calibri Light"/>
                <w:color w:val="000000"/>
              </w:rPr>
              <w:t xml:space="preserve"> progress, performance, and/or compliance with contractual obligations.</w:t>
            </w:r>
          </w:p>
        </w:tc>
      </w:tr>
      <w:tr w:rsidR="007151E8" w:rsidRPr="008B687D" w14:paraId="6CFC997D" w14:textId="77777777" w:rsidTr="00892F60">
        <w:trPr>
          <w:trHeight w:val="420"/>
        </w:trPr>
        <w:tc>
          <w:tcPr>
            <w:tcW w:w="10080" w:type="dxa"/>
            <w:tcBorders>
              <w:top w:val="nil"/>
              <w:left w:val="single" w:sz="4" w:space="0" w:color="DDEBF7"/>
              <w:bottom w:val="single" w:sz="4" w:space="0" w:color="DDEBF7"/>
              <w:right w:val="single" w:sz="4" w:space="0" w:color="DDEBF7"/>
            </w:tcBorders>
            <w:shd w:val="clear" w:color="000000" w:fill="1F4E78"/>
            <w:hideMark/>
          </w:tcPr>
          <w:p w14:paraId="37AFC3F0" w14:textId="77777777" w:rsidR="007151E8" w:rsidRPr="008B687D" w:rsidRDefault="007151E8" w:rsidP="00892F60">
            <w:pPr>
              <w:spacing w:after="0" w:line="240" w:lineRule="auto"/>
              <w:rPr>
                <w:rFonts w:ascii="Calibri Light" w:eastAsia="Times New Roman" w:hAnsi="Calibri Light" w:cs="Calibri Light"/>
                <w:b/>
                <w:bCs/>
                <w:color w:val="FFFFFF"/>
                <w:sz w:val="32"/>
                <w:szCs w:val="32"/>
              </w:rPr>
            </w:pPr>
            <w:r w:rsidRPr="008B687D">
              <w:rPr>
                <w:rFonts w:ascii="Calibri Light" w:eastAsia="Times New Roman" w:hAnsi="Calibri Light" w:cs="Calibri Light"/>
                <w:b/>
                <w:bCs/>
                <w:color w:val="FFFFFF"/>
                <w:sz w:val="32"/>
                <w:szCs w:val="32"/>
              </w:rPr>
              <w:t>CONTRACTING (10%)</w:t>
            </w:r>
          </w:p>
        </w:tc>
      </w:tr>
      <w:tr w:rsidR="007151E8" w:rsidRPr="008B687D" w14:paraId="5F1E6694" w14:textId="77777777" w:rsidTr="00892F60">
        <w:trPr>
          <w:trHeight w:val="900"/>
        </w:trPr>
        <w:tc>
          <w:tcPr>
            <w:tcW w:w="10080" w:type="dxa"/>
            <w:tcBorders>
              <w:top w:val="nil"/>
              <w:left w:val="single" w:sz="4" w:space="0" w:color="DDEBF7"/>
              <w:bottom w:val="single" w:sz="4" w:space="0" w:color="DDEBF7"/>
              <w:right w:val="single" w:sz="4" w:space="0" w:color="DDEBF7"/>
            </w:tcBorders>
            <w:shd w:val="clear" w:color="000000" w:fill="1F4E78"/>
            <w:hideMark/>
          </w:tcPr>
          <w:p w14:paraId="31993F4E" w14:textId="77777777" w:rsidR="007151E8" w:rsidRPr="008B687D" w:rsidRDefault="007151E8" w:rsidP="00892F60">
            <w:pPr>
              <w:spacing w:after="0" w:line="240" w:lineRule="auto"/>
              <w:rPr>
                <w:rFonts w:ascii="Calibri Light" w:eastAsia="Times New Roman" w:hAnsi="Calibri Light" w:cs="Calibri Light"/>
                <w:color w:val="FFFFFF"/>
              </w:rPr>
            </w:pPr>
            <w:r w:rsidRPr="008B687D">
              <w:rPr>
                <w:rFonts w:ascii="Calibri Light" w:eastAsia="Times New Roman" w:hAnsi="Calibri Light" w:cs="Calibri Light"/>
                <w:color w:val="FFFFFF"/>
              </w:rPr>
              <w:t>An association manager must demonstrate competence in the administration of service or repair contracts, to (a) ensure the most qualified service providers are selected to perform work on behalf of the association, (b) ensure service providers perform effective, efficient, and high quality work, (c) build positive, professional relationships that foster trust and confidence with the board, association members, employees, and service providers, and (d) ensure and maintain accountability and oversight of service providers.</w:t>
            </w:r>
          </w:p>
        </w:tc>
      </w:tr>
      <w:tr w:rsidR="007151E8" w:rsidRPr="008B687D" w14:paraId="68B117D3"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9BC2E6"/>
            <w:hideMark/>
          </w:tcPr>
          <w:p w14:paraId="2C523467" w14:textId="77777777"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KNOWLEDGE STATEMENTS</w:t>
            </w:r>
          </w:p>
        </w:tc>
      </w:tr>
      <w:tr w:rsidR="007151E8" w:rsidRPr="008B687D" w14:paraId="32EE82F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CEBF3A2"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contents and components of requests for proposals, bids, or quotes </w:t>
            </w:r>
          </w:p>
        </w:tc>
      </w:tr>
      <w:tr w:rsidR="007151E8" w:rsidRPr="008B687D" w14:paraId="73C213E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32313FA"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the procedures for evaluating and selecting proposals, bids, or quotes</w:t>
            </w:r>
          </w:p>
        </w:tc>
      </w:tr>
      <w:tr w:rsidR="007151E8" w:rsidRPr="008B687D" w14:paraId="774DCEB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782FDC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contract types </w:t>
            </w:r>
          </w:p>
        </w:tc>
      </w:tr>
      <w:tr w:rsidR="007151E8" w:rsidRPr="008B687D" w14:paraId="4CAB500A"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F00618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contract provisions </w:t>
            </w:r>
          </w:p>
        </w:tc>
      </w:tr>
      <w:tr w:rsidR="007151E8" w:rsidRPr="008B687D" w14:paraId="6C9E9E51"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632A662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contract management procedures </w:t>
            </w:r>
          </w:p>
        </w:tc>
      </w:tr>
      <w:tr w:rsidR="007151E8" w:rsidRPr="008B687D" w14:paraId="72050A1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C2C7EB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 xml:space="preserve">Knowledge of the purposes and contents of management agreements </w:t>
            </w:r>
          </w:p>
        </w:tc>
      </w:tr>
      <w:tr w:rsidR="007151E8" w:rsidRPr="008B687D" w14:paraId="37056008"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661F51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Knowledge of insurance requirements for vendors/contractors</w:t>
            </w:r>
          </w:p>
        </w:tc>
      </w:tr>
    </w:tbl>
    <w:p w14:paraId="6441EE77" w14:textId="77777777" w:rsidR="007151E8" w:rsidRDefault="007151E8" w:rsidP="007151E8"/>
    <w:tbl>
      <w:tblPr>
        <w:tblW w:w="10080" w:type="dxa"/>
        <w:tblLook w:val="04A0" w:firstRow="1" w:lastRow="0" w:firstColumn="1" w:lastColumn="0" w:noHBand="0" w:noVBand="1"/>
      </w:tblPr>
      <w:tblGrid>
        <w:gridCol w:w="10080"/>
      </w:tblGrid>
      <w:tr w:rsidR="007151E8" w:rsidRPr="008B687D" w14:paraId="7F34F552"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9BC2E6"/>
            <w:hideMark/>
          </w:tcPr>
          <w:p w14:paraId="50664A15" w14:textId="35424F34" w:rsidR="007151E8" w:rsidRPr="008B687D" w:rsidRDefault="007151E8" w:rsidP="00892F60">
            <w:pPr>
              <w:spacing w:after="0" w:line="240" w:lineRule="auto"/>
              <w:rPr>
                <w:rFonts w:ascii="Calibri Light" w:eastAsia="Times New Roman" w:hAnsi="Calibri Light" w:cs="Calibri Light"/>
                <w:b/>
                <w:bCs/>
                <w:sz w:val="24"/>
                <w:szCs w:val="24"/>
              </w:rPr>
            </w:pPr>
            <w:r w:rsidRPr="008B687D">
              <w:rPr>
                <w:rFonts w:ascii="Calibri Light" w:eastAsia="Times New Roman" w:hAnsi="Calibri Light" w:cs="Calibri Light"/>
                <w:b/>
                <w:bCs/>
                <w:sz w:val="24"/>
                <w:szCs w:val="24"/>
              </w:rPr>
              <w:t>TASK STATEMENTS</w:t>
            </w:r>
          </w:p>
        </w:tc>
      </w:tr>
      <w:tr w:rsidR="007151E8" w:rsidRPr="008B687D" w14:paraId="783AC931"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2DB447FF"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Identify service providers to fulfill service or repair contracts.</w:t>
            </w:r>
          </w:p>
        </w:tc>
      </w:tr>
      <w:tr w:rsidR="007151E8" w:rsidRPr="008B687D" w14:paraId="36FD047E"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245488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requests for proposals (RFPs) to obtain bids from service providers.</w:t>
            </w:r>
          </w:p>
        </w:tc>
      </w:tr>
      <w:tr w:rsidR="007151E8" w:rsidRPr="008B687D" w14:paraId="1E2F380D"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3A22341"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Prepare bid analyses for review by authorized parties (e.g., the board, legal counsel, management company president/CEO).</w:t>
            </w:r>
          </w:p>
        </w:tc>
      </w:tr>
      <w:tr w:rsidR="007151E8" w:rsidRPr="008B687D" w14:paraId="76331CA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1486107C"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legal counsel, CFO, company president/CEO) to review, evaluate, and select bids/quotes.</w:t>
            </w:r>
          </w:p>
        </w:tc>
      </w:tr>
      <w:tr w:rsidR="007151E8" w:rsidRPr="008B687D" w14:paraId="78287C25"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21DEB73E"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Obtain and/or verify information about service providers (e.g., qualifications, licenses, credentials, services, pricing).</w:t>
            </w:r>
          </w:p>
        </w:tc>
      </w:tr>
      <w:tr w:rsidR="007151E8" w:rsidRPr="008B687D" w14:paraId="6D7DED47"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442F813D"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Conduct interviews with service providers.</w:t>
            </w:r>
          </w:p>
        </w:tc>
      </w:tr>
      <w:tr w:rsidR="007151E8" w:rsidRPr="008B687D" w14:paraId="38716D59"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000000" w:fill="DDEBF7"/>
            <w:hideMark/>
          </w:tcPr>
          <w:p w14:paraId="1304C11F" w14:textId="77777777" w:rsidR="007151E8" w:rsidRPr="008B687D" w:rsidRDefault="007151E8" w:rsidP="00892F60">
            <w:pPr>
              <w:spacing w:after="0" w:line="240" w:lineRule="auto"/>
              <w:rPr>
                <w:rFonts w:ascii="Calibri Light" w:eastAsia="Times New Roman" w:hAnsi="Calibri Light" w:cs="Calibri Light"/>
                <w:b/>
                <w:bCs/>
                <w:i/>
                <w:iCs/>
                <w:color w:val="000000"/>
              </w:rPr>
            </w:pPr>
            <w:r w:rsidRPr="008B687D">
              <w:rPr>
                <w:rFonts w:ascii="Calibri Light" w:eastAsia="Times New Roman" w:hAnsi="Calibri Light" w:cs="Calibri Light"/>
                <w:b/>
                <w:bCs/>
                <w:i/>
                <w:iCs/>
                <w:color w:val="000000"/>
              </w:rPr>
              <w:t>Coordinate the ratification and/or amendment of service or repair contracts.</w:t>
            </w:r>
          </w:p>
        </w:tc>
      </w:tr>
      <w:tr w:rsidR="007151E8" w:rsidRPr="008B687D" w14:paraId="350B3384"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727CB3D0"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legal counsel, CFO, company president/CEO) to conduct contract negotiations with service providers.</w:t>
            </w:r>
          </w:p>
        </w:tc>
      </w:tr>
      <w:tr w:rsidR="007151E8" w:rsidRPr="008B687D" w14:paraId="43191F8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09C419A9"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Conduct contract negotiations with service providers.</w:t>
            </w:r>
          </w:p>
        </w:tc>
      </w:tr>
      <w:tr w:rsidR="007151E8" w:rsidRPr="008B687D" w14:paraId="4FFA569B" w14:textId="77777777" w:rsidTr="00892F60">
        <w:trPr>
          <w:trHeight w:val="300"/>
        </w:trPr>
        <w:tc>
          <w:tcPr>
            <w:tcW w:w="10080" w:type="dxa"/>
            <w:tcBorders>
              <w:top w:val="nil"/>
              <w:left w:val="single" w:sz="4" w:space="0" w:color="DDEBF7"/>
              <w:bottom w:val="single" w:sz="4" w:space="0" w:color="DDEBF7"/>
              <w:right w:val="single" w:sz="4" w:space="0" w:color="DDEBF7"/>
            </w:tcBorders>
            <w:shd w:val="clear" w:color="auto" w:fill="auto"/>
            <w:hideMark/>
          </w:tcPr>
          <w:p w14:paraId="35DBE559"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the ratification of service or repair contracts (e.g., obtaining board approval, notifying service providers of contract award).</w:t>
            </w:r>
          </w:p>
        </w:tc>
      </w:tr>
      <w:tr w:rsidR="007151E8" w:rsidRPr="008B687D" w14:paraId="1A3401D7" w14:textId="77777777" w:rsidTr="00892F60">
        <w:trPr>
          <w:trHeight w:val="600"/>
        </w:trPr>
        <w:tc>
          <w:tcPr>
            <w:tcW w:w="10080" w:type="dxa"/>
            <w:tcBorders>
              <w:top w:val="nil"/>
              <w:left w:val="single" w:sz="4" w:space="0" w:color="DDEBF7"/>
              <w:bottom w:val="single" w:sz="4" w:space="0" w:color="DDEBF7"/>
              <w:right w:val="single" w:sz="4" w:space="0" w:color="DDEBF7"/>
            </w:tcBorders>
            <w:shd w:val="clear" w:color="auto" w:fill="auto"/>
            <w:hideMark/>
          </w:tcPr>
          <w:p w14:paraId="51D958E4" w14:textId="77777777" w:rsidR="007151E8" w:rsidRPr="008B687D" w:rsidRDefault="007151E8" w:rsidP="00892F60">
            <w:pPr>
              <w:spacing w:after="0" w:line="240" w:lineRule="auto"/>
              <w:rPr>
                <w:rFonts w:ascii="Calibri Light" w:eastAsia="Times New Roman" w:hAnsi="Calibri Light" w:cs="Calibri Light"/>
                <w:color w:val="000000"/>
              </w:rPr>
            </w:pPr>
            <w:r w:rsidRPr="008B687D">
              <w:rPr>
                <w:rFonts w:ascii="Calibri Light" w:eastAsia="Times New Roman" w:hAnsi="Calibri Light" w:cs="Calibri Light"/>
                <w:color w:val="000000"/>
              </w:rPr>
              <w:t>Coordinate with authorized parties (e.g., the board, legal counsel) to amend service or repair contracts (e.g., increasing service expectations, adjusting cost/timeline, negotiating/executing changes to terms and conditions).</w:t>
            </w:r>
          </w:p>
        </w:tc>
      </w:tr>
    </w:tbl>
    <w:p w14:paraId="583754DE" w14:textId="77777777" w:rsidR="007151E8" w:rsidRDefault="007151E8" w:rsidP="007151E8"/>
    <w:p w14:paraId="49EB9CAD" w14:textId="77777777" w:rsidR="00CF5DCE" w:rsidRPr="002E2CB6" w:rsidRDefault="00CF5DCE" w:rsidP="00AB7077">
      <w:pPr>
        <w:rPr>
          <w:i/>
          <w:iCs/>
        </w:rPr>
      </w:pPr>
    </w:p>
    <w:p w14:paraId="1D8595C1" w14:textId="77777777" w:rsidR="005259D8" w:rsidRPr="00C70F94" w:rsidRDefault="005259D8" w:rsidP="005259D8">
      <w:pPr>
        <w:rPr>
          <w:i/>
          <w:iCs/>
        </w:rPr>
      </w:pPr>
    </w:p>
    <w:sectPr w:rsidR="005259D8" w:rsidRPr="00C70F94" w:rsidSect="008F52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1F918" w14:textId="77777777" w:rsidR="00B60B25" w:rsidRDefault="00B60B25" w:rsidP="00C92882">
      <w:pPr>
        <w:spacing w:after="0" w:line="240" w:lineRule="auto"/>
      </w:pPr>
      <w:r>
        <w:separator/>
      </w:r>
    </w:p>
  </w:endnote>
  <w:endnote w:type="continuationSeparator" w:id="0">
    <w:p w14:paraId="1555CA1F" w14:textId="77777777" w:rsidR="00B60B25" w:rsidRDefault="00B60B25" w:rsidP="00C92882">
      <w:pPr>
        <w:spacing w:after="0" w:line="240" w:lineRule="auto"/>
      </w:pPr>
      <w:r>
        <w:continuationSeparator/>
      </w:r>
    </w:p>
  </w:endnote>
  <w:endnote w:type="continuationNotice" w:id="1">
    <w:p w14:paraId="5439A5D5" w14:textId="77777777" w:rsidR="00B60B25" w:rsidRDefault="00B60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EA78" w14:textId="4036E812" w:rsidR="00C92882" w:rsidRDefault="00F52C04">
    <w:pPr>
      <w:pStyle w:val="Footer"/>
    </w:pPr>
    <w:r>
      <w:t>July</w:t>
    </w:r>
    <w:r w:rsidR="00FE604B">
      <w:t xml:space="preserve"> 2024 </w:t>
    </w:r>
    <w:r w:rsidR="00C92882">
      <w:tab/>
    </w:r>
    <w:r w:rsidR="003904C4">
      <w:t>Application for CMCA Prerequisite Course Status</w:t>
    </w:r>
    <w:r w:rsidR="00C92882">
      <w:tab/>
      <w:t xml:space="preserve">Page </w:t>
    </w:r>
    <w:r w:rsidR="00C92882">
      <w:fldChar w:fldCharType="begin"/>
    </w:r>
    <w:r w:rsidR="00C92882">
      <w:instrText xml:space="preserve"> PAGE   \* MERGEFORMAT </w:instrText>
    </w:r>
    <w:r w:rsidR="00C92882">
      <w:fldChar w:fldCharType="separate"/>
    </w:r>
    <w:r w:rsidR="00C92882">
      <w:rPr>
        <w:noProof/>
      </w:rPr>
      <w:t>1</w:t>
    </w:r>
    <w:r w:rsidR="00C92882">
      <w:rPr>
        <w:noProof/>
      </w:rPr>
      <w:fldChar w:fldCharType="end"/>
    </w:r>
  </w:p>
  <w:p w14:paraId="25B6D239" w14:textId="1571D8E0" w:rsidR="00C92882" w:rsidRDefault="00D1453D">
    <w:pPr>
      <w:pStyle w:val="Footer"/>
    </w:pPr>
    <w:r>
      <w:t>Controlled</w:t>
    </w:r>
    <w:r w:rsidR="00C9288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C3C7" w14:textId="77777777" w:rsidR="00B60B25" w:rsidRDefault="00B60B25" w:rsidP="00C92882">
      <w:pPr>
        <w:spacing w:after="0" w:line="240" w:lineRule="auto"/>
      </w:pPr>
      <w:r>
        <w:separator/>
      </w:r>
    </w:p>
  </w:footnote>
  <w:footnote w:type="continuationSeparator" w:id="0">
    <w:p w14:paraId="23AB96CF" w14:textId="77777777" w:rsidR="00B60B25" w:rsidRDefault="00B60B25" w:rsidP="00C92882">
      <w:pPr>
        <w:spacing w:after="0" w:line="240" w:lineRule="auto"/>
      </w:pPr>
      <w:r>
        <w:continuationSeparator/>
      </w:r>
    </w:p>
  </w:footnote>
  <w:footnote w:type="continuationNotice" w:id="1">
    <w:p w14:paraId="13B21B49" w14:textId="77777777" w:rsidR="00B60B25" w:rsidRDefault="00B60B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A6D"/>
    <w:multiLevelType w:val="hybridMultilevel"/>
    <w:tmpl w:val="9A66E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76B"/>
    <w:multiLevelType w:val="hybridMultilevel"/>
    <w:tmpl w:val="B602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2714"/>
    <w:multiLevelType w:val="hybridMultilevel"/>
    <w:tmpl w:val="36F4A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6483448">
      <w:start w:val="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05134"/>
    <w:multiLevelType w:val="multilevel"/>
    <w:tmpl w:val="515CC580"/>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880" w:hanging="2520"/>
      </w:pPr>
      <w:rPr>
        <w:rFonts w:hint="default"/>
      </w:rPr>
    </w:lvl>
  </w:abstractNum>
  <w:abstractNum w:abstractNumId="4" w15:restartNumberingAfterBreak="0">
    <w:nsid w:val="13C6388D"/>
    <w:multiLevelType w:val="hybridMultilevel"/>
    <w:tmpl w:val="58B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817E7"/>
    <w:multiLevelType w:val="hybridMultilevel"/>
    <w:tmpl w:val="7EF6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36846"/>
    <w:multiLevelType w:val="hybridMultilevel"/>
    <w:tmpl w:val="4766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16BD7"/>
    <w:multiLevelType w:val="hybridMultilevel"/>
    <w:tmpl w:val="ACB4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33130"/>
    <w:multiLevelType w:val="hybridMultilevel"/>
    <w:tmpl w:val="926A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371A9"/>
    <w:multiLevelType w:val="hybridMultilevel"/>
    <w:tmpl w:val="52A4D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1A110F"/>
    <w:multiLevelType w:val="hybridMultilevel"/>
    <w:tmpl w:val="3628E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874F7"/>
    <w:multiLevelType w:val="hybridMultilevel"/>
    <w:tmpl w:val="016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84E3F"/>
    <w:multiLevelType w:val="hybridMultilevel"/>
    <w:tmpl w:val="BF8E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42609"/>
    <w:multiLevelType w:val="hybridMultilevel"/>
    <w:tmpl w:val="B89C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1073B"/>
    <w:multiLevelType w:val="hybridMultilevel"/>
    <w:tmpl w:val="3E5C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072BE"/>
    <w:multiLevelType w:val="hybridMultilevel"/>
    <w:tmpl w:val="5BA8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A3857"/>
    <w:multiLevelType w:val="hybridMultilevel"/>
    <w:tmpl w:val="499C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D37EB"/>
    <w:multiLevelType w:val="hybridMultilevel"/>
    <w:tmpl w:val="47D07F1C"/>
    <w:lvl w:ilvl="0" w:tplc="E0D6F0FA">
      <w:start w:val="7"/>
      <w:numFmt w:val="bullet"/>
      <w:lvlText w:val="-"/>
      <w:lvlJc w:val="left"/>
      <w:pPr>
        <w:ind w:left="720" w:hanging="360"/>
      </w:pPr>
      <w:rPr>
        <w:rFonts w:ascii="Aptos" w:eastAsiaTheme="minorHAnsi" w:hAnsi="Aptos" w:cstheme="minorBidi" w:hint="default"/>
      </w:rPr>
    </w:lvl>
    <w:lvl w:ilvl="1" w:tplc="E0D6F0FA">
      <w:start w:val="7"/>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509CF"/>
    <w:multiLevelType w:val="hybridMultilevel"/>
    <w:tmpl w:val="16C0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029A7"/>
    <w:multiLevelType w:val="hybridMultilevel"/>
    <w:tmpl w:val="5588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20C21"/>
    <w:multiLevelType w:val="hybridMultilevel"/>
    <w:tmpl w:val="2166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A2F35"/>
    <w:multiLevelType w:val="hybridMultilevel"/>
    <w:tmpl w:val="5DB0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974C2"/>
    <w:multiLevelType w:val="hybridMultilevel"/>
    <w:tmpl w:val="15584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517EE0"/>
    <w:multiLevelType w:val="hybridMultilevel"/>
    <w:tmpl w:val="7AE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309071">
    <w:abstractNumId w:val="19"/>
  </w:num>
  <w:num w:numId="2" w16cid:durableId="1599875536">
    <w:abstractNumId w:val="1"/>
  </w:num>
  <w:num w:numId="3" w16cid:durableId="804469783">
    <w:abstractNumId w:val="13"/>
  </w:num>
  <w:num w:numId="4" w16cid:durableId="1364597106">
    <w:abstractNumId w:val="8"/>
  </w:num>
  <w:num w:numId="5" w16cid:durableId="685983656">
    <w:abstractNumId w:val="9"/>
  </w:num>
  <w:num w:numId="6" w16cid:durableId="366415408">
    <w:abstractNumId w:val="22"/>
  </w:num>
  <w:num w:numId="7" w16cid:durableId="255284818">
    <w:abstractNumId w:val="7"/>
  </w:num>
  <w:num w:numId="8" w16cid:durableId="1718699592">
    <w:abstractNumId w:val="23"/>
  </w:num>
  <w:num w:numId="9" w16cid:durableId="496387512">
    <w:abstractNumId w:val="20"/>
  </w:num>
  <w:num w:numId="10" w16cid:durableId="1755123618">
    <w:abstractNumId w:val="0"/>
  </w:num>
  <w:num w:numId="11" w16cid:durableId="1532913834">
    <w:abstractNumId w:val="4"/>
  </w:num>
  <w:num w:numId="12" w16cid:durableId="2133011470">
    <w:abstractNumId w:val="14"/>
  </w:num>
  <w:num w:numId="13" w16cid:durableId="1827286393">
    <w:abstractNumId w:val="10"/>
  </w:num>
  <w:num w:numId="14" w16cid:durableId="1058556996">
    <w:abstractNumId w:val="6"/>
  </w:num>
  <w:num w:numId="15" w16cid:durableId="1479108901">
    <w:abstractNumId w:val="2"/>
  </w:num>
  <w:num w:numId="16" w16cid:durableId="1991251260">
    <w:abstractNumId w:val="15"/>
  </w:num>
  <w:num w:numId="17" w16cid:durableId="778961180">
    <w:abstractNumId w:val="12"/>
  </w:num>
  <w:num w:numId="18" w16cid:durableId="1842430853">
    <w:abstractNumId w:val="3"/>
  </w:num>
  <w:num w:numId="19" w16cid:durableId="584457723">
    <w:abstractNumId w:val="16"/>
  </w:num>
  <w:num w:numId="20" w16cid:durableId="1785348586">
    <w:abstractNumId w:val="21"/>
  </w:num>
  <w:num w:numId="21" w16cid:durableId="954286106">
    <w:abstractNumId w:val="18"/>
  </w:num>
  <w:num w:numId="22" w16cid:durableId="1460537946">
    <w:abstractNumId w:val="11"/>
  </w:num>
  <w:num w:numId="23" w16cid:durableId="1716931065">
    <w:abstractNumId w:val="5"/>
  </w:num>
  <w:num w:numId="24" w16cid:durableId="12195870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4E"/>
    <w:rsid w:val="0000335A"/>
    <w:rsid w:val="000040BE"/>
    <w:rsid w:val="000076B9"/>
    <w:rsid w:val="00013B2B"/>
    <w:rsid w:val="00016D8A"/>
    <w:rsid w:val="000210B6"/>
    <w:rsid w:val="0002638F"/>
    <w:rsid w:val="00031414"/>
    <w:rsid w:val="00035413"/>
    <w:rsid w:val="0004028D"/>
    <w:rsid w:val="000414CA"/>
    <w:rsid w:val="000428D7"/>
    <w:rsid w:val="0004588D"/>
    <w:rsid w:val="00046F24"/>
    <w:rsid w:val="00051A28"/>
    <w:rsid w:val="000534E8"/>
    <w:rsid w:val="0005786F"/>
    <w:rsid w:val="00072946"/>
    <w:rsid w:val="00074D1D"/>
    <w:rsid w:val="00075A0E"/>
    <w:rsid w:val="000764D9"/>
    <w:rsid w:val="000813AE"/>
    <w:rsid w:val="0008290D"/>
    <w:rsid w:val="00082A9B"/>
    <w:rsid w:val="00083F58"/>
    <w:rsid w:val="00086B0F"/>
    <w:rsid w:val="00086F15"/>
    <w:rsid w:val="0009549D"/>
    <w:rsid w:val="00096F4B"/>
    <w:rsid w:val="000A35BA"/>
    <w:rsid w:val="000B767B"/>
    <w:rsid w:val="000C18CB"/>
    <w:rsid w:val="000C39BF"/>
    <w:rsid w:val="000C5ED4"/>
    <w:rsid w:val="000D44AF"/>
    <w:rsid w:val="000D6603"/>
    <w:rsid w:val="000D7A96"/>
    <w:rsid w:val="000F1B15"/>
    <w:rsid w:val="000F5A8A"/>
    <w:rsid w:val="000F7365"/>
    <w:rsid w:val="00104587"/>
    <w:rsid w:val="00112D0F"/>
    <w:rsid w:val="00113AA4"/>
    <w:rsid w:val="00114514"/>
    <w:rsid w:val="00116503"/>
    <w:rsid w:val="0012258D"/>
    <w:rsid w:val="00134B85"/>
    <w:rsid w:val="001521E0"/>
    <w:rsid w:val="00165B6C"/>
    <w:rsid w:val="00183248"/>
    <w:rsid w:val="00183281"/>
    <w:rsid w:val="00184096"/>
    <w:rsid w:val="0018773F"/>
    <w:rsid w:val="00191EA2"/>
    <w:rsid w:val="00193B12"/>
    <w:rsid w:val="001A025E"/>
    <w:rsid w:val="001C1CC4"/>
    <w:rsid w:val="001C438B"/>
    <w:rsid w:val="001C6793"/>
    <w:rsid w:val="001D3EDE"/>
    <w:rsid w:val="001E04FC"/>
    <w:rsid w:val="001E07E9"/>
    <w:rsid w:val="001E2AF4"/>
    <w:rsid w:val="001E422D"/>
    <w:rsid w:val="001E61C3"/>
    <w:rsid w:val="001E77CA"/>
    <w:rsid w:val="001F1272"/>
    <w:rsid w:val="002013DD"/>
    <w:rsid w:val="00211B4A"/>
    <w:rsid w:val="00212BCB"/>
    <w:rsid w:val="0021336A"/>
    <w:rsid w:val="00214795"/>
    <w:rsid w:val="00223E7F"/>
    <w:rsid w:val="00226991"/>
    <w:rsid w:val="00226DC2"/>
    <w:rsid w:val="002271BC"/>
    <w:rsid w:val="0022758E"/>
    <w:rsid w:val="002332D0"/>
    <w:rsid w:val="0023458D"/>
    <w:rsid w:val="002346D1"/>
    <w:rsid w:val="0024098B"/>
    <w:rsid w:val="002464DF"/>
    <w:rsid w:val="00251205"/>
    <w:rsid w:val="002545AA"/>
    <w:rsid w:val="002604E1"/>
    <w:rsid w:val="00262D09"/>
    <w:rsid w:val="0026383E"/>
    <w:rsid w:val="00263CC0"/>
    <w:rsid w:val="00265CD3"/>
    <w:rsid w:val="00271BC1"/>
    <w:rsid w:val="00271C5B"/>
    <w:rsid w:val="00281B48"/>
    <w:rsid w:val="00286CB3"/>
    <w:rsid w:val="002875AE"/>
    <w:rsid w:val="00291371"/>
    <w:rsid w:val="00296540"/>
    <w:rsid w:val="002966F1"/>
    <w:rsid w:val="00296A75"/>
    <w:rsid w:val="002A1645"/>
    <w:rsid w:val="002A4F4A"/>
    <w:rsid w:val="002B26DE"/>
    <w:rsid w:val="002B272E"/>
    <w:rsid w:val="002B2794"/>
    <w:rsid w:val="002B2C2C"/>
    <w:rsid w:val="002B2FB1"/>
    <w:rsid w:val="002B374B"/>
    <w:rsid w:val="002B3F10"/>
    <w:rsid w:val="002B4576"/>
    <w:rsid w:val="002C0BD8"/>
    <w:rsid w:val="002C36D0"/>
    <w:rsid w:val="002D138C"/>
    <w:rsid w:val="002D432E"/>
    <w:rsid w:val="002D4A55"/>
    <w:rsid w:val="002D4CD7"/>
    <w:rsid w:val="002E13C2"/>
    <w:rsid w:val="002E2CB6"/>
    <w:rsid w:val="002E66A5"/>
    <w:rsid w:val="002F364C"/>
    <w:rsid w:val="0030292E"/>
    <w:rsid w:val="0030324A"/>
    <w:rsid w:val="00303ED9"/>
    <w:rsid w:val="00306626"/>
    <w:rsid w:val="003070C7"/>
    <w:rsid w:val="00311CB7"/>
    <w:rsid w:val="00315AFD"/>
    <w:rsid w:val="00324C71"/>
    <w:rsid w:val="00326363"/>
    <w:rsid w:val="0033022B"/>
    <w:rsid w:val="003349B0"/>
    <w:rsid w:val="00341FC6"/>
    <w:rsid w:val="003425EA"/>
    <w:rsid w:val="00343DF0"/>
    <w:rsid w:val="003474A7"/>
    <w:rsid w:val="00353699"/>
    <w:rsid w:val="00357E62"/>
    <w:rsid w:val="00363E0D"/>
    <w:rsid w:val="00372DD2"/>
    <w:rsid w:val="003777DB"/>
    <w:rsid w:val="003816E2"/>
    <w:rsid w:val="0038284E"/>
    <w:rsid w:val="00382DE2"/>
    <w:rsid w:val="003904C4"/>
    <w:rsid w:val="00391675"/>
    <w:rsid w:val="003966F5"/>
    <w:rsid w:val="003A1659"/>
    <w:rsid w:val="003A2185"/>
    <w:rsid w:val="003B0EA6"/>
    <w:rsid w:val="003B4EE9"/>
    <w:rsid w:val="003C21EB"/>
    <w:rsid w:val="003C3E07"/>
    <w:rsid w:val="003C6A23"/>
    <w:rsid w:val="003D148A"/>
    <w:rsid w:val="003D5EBE"/>
    <w:rsid w:val="003E2255"/>
    <w:rsid w:val="003E230F"/>
    <w:rsid w:val="003E2BCE"/>
    <w:rsid w:val="003E360B"/>
    <w:rsid w:val="003F06B7"/>
    <w:rsid w:val="003F1647"/>
    <w:rsid w:val="003F210A"/>
    <w:rsid w:val="003F24BC"/>
    <w:rsid w:val="003F4932"/>
    <w:rsid w:val="003F5399"/>
    <w:rsid w:val="004120B6"/>
    <w:rsid w:val="004125E4"/>
    <w:rsid w:val="00415AAC"/>
    <w:rsid w:val="00423C05"/>
    <w:rsid w:val="0042426B"/>
    <w:rsid w:val="0043367D"/>
    <w:rsid w:val="004379E6"/>
    <w:rsid w:val="00441665"/>
    <w:rsid w:val="004432E3"/>
    <w:rsid w:val="00445F08"/>
    <w:rsid w:val="00452917"/>
    <w:rsid w:val="00453F19"/>
    <w:rsid w:val="004540DB"/>
    <w:rsid w:val="00455374"/>
    <w:rsid w:val="004559D0"/>
    <w:rsid w:val="0045721B"/>
    <w:rsid w:val="0046715D"/>
    <w:rsid w:val="004726D1"/>
    <w:rsid w:val="00472DBB"/>
    <w:rsid w:val="00473A40"/>
    <w:rsid w:val="004744DF"/>
    <w:rsid w:val="00474658"/>
    <w:rsid w:val="0047631F"/>
    <w:rsid w:val="00477F7A"/>
    <w:rsid w:val="00483B41"/>
    <w:rsid w:val="0048627E"/>
    <w:rsid w:val="00492BF3"/>
    <w:rsid w:val="00493CB7"/>
    <w:rsid w:val="004958FD"/>
    <w:rsid w:val="004A286C"/>
    <w:rsid w:val="004A4666"/>
    <w:rsid w:val="004A5EEE"/>
    <w:rsid w:val="004B0E5E"/>
    <w:rsid w:val="004B1845"/>
    <w:rsid w:val="004C09AF"/>
    <w:rsid w:val="004C2046"/>
    <w:rsid w:val="004C2445"/>
    <w:rsid w:val="004C30D8"/>
    <w:rsid w:val="004D0446"/>
    <w:rsid w:val="004D1C3F"/>
    <w:rsid w:val="004D1E5D"/>
    <w:rsid w:val="004D3226"/>
    <w:rsid w:val="004E0006"/>
    <w:rsid w:val="004E0435"/>
    <w:rsid w:val="004E0928"/>
    <w:rsid w:val="004E2CF3"/>
    <w:rsid w:val="004F120E"/>
    <w:rsid w:val="004F4082"/>
    <w:rsid w:val="004F565E"/>
    <w:rsid w:val="004F7FA8"/>
    <w:rsid w:val="004F7FE9"/>
    <w:rsid w:val="0050173A"/>
    <w:rsid w:val="005020D8"/>
    <w:rsid w:val="0050653B"/>
    <w:rsid w:val="005074AF"/>
    <w:rsid w:val="00511929"/>
    <w:rsid w:val="00515048"/>
    <w:rsid w:val="00516144"/>
    <w:rsid w:val="005214CF"/>
    <w:rsid w:val="00522D33"/>
    <w:rsid w:val="005242FF"/>
    <w:rsid w:val="005244DF"/>
    <w:rsid w:val="005259D8"/>
    <w:rsid w:val="005300C1"/>
    <w:rsid w:val="005342B8"/>
    <w:rsid w:val="00542977"/>
    <w:rsid w:val="00544E82"/>
    <w:rsid w:val="00552355"/>
    <w:rsid w:val="00552440"/>
    <w:rsid w:val="0055273F"/>
    <w:rsid w:val="00554896"/>
    <w:rsid w:val="0056311E"/>
    <w:rsid w:val="00563A8C"/>
    <w:rsid w:val="00570EDA"/>
    <w:rsid w:val="00571B68"/>
    <w:rsid w:val="0057394E"/>
    <w:rsid w:val="00573DB3"/>
    <w:rsid w:val="00574B8B"/>
    <w:rsid w:val="00574CD7"/>
    <w:rsid w:val="00576FAC"/>
    <w:rsid w:val="00585525"/>
    <w:rsid w:val="00586283"/>
    <w:rsid w:val="00592595"/>
    <w:rsid w:val="00592DA4"/>
    <w:rsid w:val="00595E07"/>
    <w:rsid w:val="005A10C8"/>
    <w:rsid w:val="005A6294"/>
    <w:rsid w:val="005B2787"/>
    <w:rsid w:val="005C0796"/>
    <w:rsid w:val="005C1B03"/>
    <w:rsid w:val="005C65FD"/>
    <w:rsid w:val="005C6CEA"/>
    <w:rsid w:val="005C76E5"/>
    <w:rsid w:val="005D296B"/>
    <w:rsid w:val="005D3AF9"/>
    <w:rsid w:val="005D7278"/>
    <w:rsid w:val="005F211E"/>
    <w:rsid w:val="005F30DE"/>
    <w:rsid w:val="00602B10"/>
    <w:rsid w:val="006255A3"/>
    <w:rsid w:val="00630301"/>
    <w:rsid w:val="00631685"/>
    <w:rsid w:val="006341C0"/>
    <w:rsid w:val="006359A8"/>
    <w:rsid w:val="00637373"/>
    <w:rsid w:val="00650222"/>
    <w:rsid w:val="006573D8"/>
    <w:rsid w:val="00670489"/>
    <w:rsid w:val="006752A6"/>
    <w:rsid w:val="00683454"/>
    <w:rsid w:val="0069167C"/>
    <w:rsid w:val="0069344B"/>
    <w:rsid w:val="00695015"/>
    <w:rsid w:val="00696083"/>
    <w:rsid w:val="006A1CA5"/>
    <w:rsid w:val="006A3458"/>
    <w:rsid w:val="006A3FF1"/>
    <w:rsid w:val="006C2AEF"/>
    <w:rsid w:val="006C59B1"/>
    <w:rsid w:val="006D20B3"/>
    <w:rsid w:val="006D349C"/>
    <w:rsid w:val="006D46EE"/>
    <w:rsid w:val="006D7B8C"/>
    <w:rsid w:val="006E04C7"/>
    <w:rsid w:val="006E3AC7"/>
    <w:rsid w:val="006E3DA7"/>
    <w:rsid w:val="006E63C8"/>
    <w:rsid w:val="006F0CCE"/>
    <w:rsid w:val="006F1BCA"/>
    <w:rsid w:val="006F3644"/>
    <w:rsid w:val="006F400C"/>
    <w:rsid w:val="00700634"/>
    <w:rsid w:val="00703394"/>
    <w:rsid w:val="007131A7"/>
    <w:rsid w:val="007151E8"/>
    <w:rsid w:val="00715924"/>
    <w:rsid w:val="00715A8E"/>
    <w:rsid w:val="00717215"/>
    <w:rsid w:val="0072331F"/>
    <w:rsid w:val="007261AC"/>
    <w:rsid w:val="0072631B"/>
    <w:rsid w:val="00734C7E"/>
    <w:rsid w:val="00735E59"/>
    <w:rsid w:val="00737DA5"/>
    <w:rsid w:val="00746674"/>
    <w:rsid w:val="00746B49"/>
    <w:rsid w:val="00752846"/>
    <w:rsid w:val="00754B80"/>
    <w:rsid w:val="007550ED"/>
    <w:rsid w:val="0075546A"/>
    <w:rsid w:val="007604A4"/>
    <w:rsid w:val="0076418D"/>
    <w:rsid w:val="007724A1"/>
    <w:rsid w:val="00776378"/>
    <w:rsid w:val="00791445"/>
    <w:rsid w:val="00793232"/>
    <w:rsid w:val="00794F0D"/>
    <w:rsid w:val="007A2183"/>
    <w:rsid w:val="007A42BC"/>
    <w:rsid w:val="007A4FC2"/>
    <w:rsid w:val="007B10A5"/>
    <w:rsid w:val="007B153F"/>
    <w:rsid w:val="007B464C"/>
    <w:rsid w:val="007C2B71"/>
    <w:rsid w:val="007C2EA0"/>
    <w:rsid w:val="007C3F8C"/>
    <w:rsid w:val="007C42B8"/>
    <w:rsid w:val="007D50D7"/>
    <w:rsid w:val="007E5BDF"/>
    <w:rsid w:val="007E6133"/>
    <w:rsid w:val="007E7016"/>
    <w:rsid w:val="007F1EDA"/>
    <w:rsid w:val="007F314E"/>
    <w:rsid w:val="008011B9"/>
    <w:rsid w:val="00803BC0"/>
    <w:rsid w:val="00804FCD"/>
    <w:rsid w:val="00812351"/>
    <w:rsid w:val="008159B0"/>
    <w:rsid w:val="00831CA4"/>
    <w:rsid w:val="008335D2"/>
    <w:rsid w:val="00833AEC"/>
    <w:rsid w:val="00833C5D"/>
    <w:rsid w:val="00837451"/>
    <w:rsid w:val="0084105C"/>
    <w:rsid w:val="00842A3D"/>
    <w:rsid w:val="00843BD5"/>
    <w:rsid w:val="00847A30"/>
    <w:rsid w:val="0085400D"/>
    <w:rsid w:val="00854F52"/>
    <w:rsid w:val="0085667A"/>
    <w:rsid w:val="00862D22"/>
    <w:rsid w:val="008652C2"/>
    <w:rsid w:val="00866AD2"/>
    <w:rsid w:val="00876B34"/>
    <w:rsid w:val="00887B37"/>
    <w:rsid w:val="008928F4"/>
    <w:rsid w:val="008937DC"/>
    <w:rsid w:val="008B300B"/>
    <w:rsid w:val="008C0749"/>
    <w:rsid w:val="008D0EE0"/>
    <w:rsid w:val="008D39E8"/>
    <w:rsid w:val="008D4AF8"/>
    <w:rsid w:val="008D5B64"/>
    <w:rsid w:val="008D694C"/>
    <w:rsid w:val="008F2254"/>
    <w:rsid w:val="008F5240"/>
    <w:rsid w:val="008F5B7F"/>
    <w:rsid w:val="008F77E3"/>
    <w:rsid w:val="009003D9"/>
    <w:rsid w:val="00900920"/>
    <w:rsid w:val="00902A44"/>
    <w:rsid w:val="0091061D"/>
    <w:rsid w:val="009220D6"/>
    <w:rsid w:val="0092323F"/>
    <w:rsid w:val="00924C58"/>
    <w:rsid w:val="00925FB9"/>
    <w:rsid w:val="00932C4D"/>
    <w:rsid w:val="0094011A"/>
    <w:rsid w:val="00942691"/>
    <w:rsid w:val="00945F34"/>
    <w:rsid w:val="00954A36"/>
    <w:rsid w:val="0096225D"/>
    <w:rsid w:val="0096481D"/>
    <w:rsid w:val="00972961"/>
    <w:rsid w:val="00975087"/>
    <w:rsid w:val="0097652A"/>
    <w:rsid w:val="00980831"/>
    <w:rsid w:val="00984407"/>
    <w:rsid w:val="009850DC"/>
    <w:rsid w:val="00991FD8"/>
    <w:rsid w:val="00993139"/>
    <w:rsid w:val="00995F30"/>
    <w:rsid w:val="009A2B5F"/>
    <w:rsid w:val="009A5232"/>
    <w:rsid w:val="009A75B3"/>
    <w:rsid w:val="009B504E"/>
    <w:rsid w:val="009B5646"/>
    <w:rsid w:val="009B5890"/>
    <w:rsid w:val="009D0949"/>
    <w:rsid w:val="009D77DC"/>
    <w:rsid w:val="009E03B7"/>
    <w:rsid w:val="009E4CE4"/>
    <w:rsid w:val="009E7B26"/>
    <w:rsid w:val="009F1BD9"/>
    <w:rsid w:val="00A04356"/>
    <w:rsid w:val="00A24CDA"/>
    <w:rsid w:val="00A24D1E"/>
    <w:rsid w:val="00A27268"/>
    <w:rsid w:val="00A27BD1"/>
    <w:rsid w:val="00A27C29"/>
    <w:rsid w:val="00A32576"/>
    <w:rsid w:val="00A37E6B"/>
    <w:rsid w:val="00A44668"/>
    <w:rsid w:val="00A47A3F"/>
    <w:rsid w:val="00A51986"/>
    <w:rsid w:val="00A51ABF"/>
    <w:rsid w:val="00A61607"/>
    <w:rsid w:val="00A6232C"/>
    <w:rsid w:val="00A735FC"/>
    <w:rsid w:val="00A73DDC"/>
    <w:rsid w:val="00A74722"/>
    <w:rsid w:val="00A76B86"/>
    <w:rsid w:val="00A76E4D"/>
    <w:rsid w:val="00A76F20"/>
    <w:rsid w:val="00A77A3A"/>
    <w:rsid w:val="00A81C15"/>
    <w:rsid w:val="00A91DB4"/>
    <w:rsid w:val="00A96041"/>
    <w:rsid w:val="00AA33F0"/>
    <w:rsid w:val="00AA56CC"/>
    <w:rsid w:val="00AB6905"/>
    <w:rsid w:val="00AB7077"/>
    <w:rsid w:val="00AB76EC"/>
    <w:rsid w:val="00AC2C6D"/>
    <w:rsid w:val="00AC445F"/>
    <w:rsid w:val="00AC613E"/>
    <w:rsid w:val="00AE164A"/>
    <w:rsid w:val="00AE4C61"/>
    <w:rsid w:val="00AE5E30"/>
    <w:rsid w:val="00AF1BA5"/>
    <w:rsid w:val="00AF28F8"/>
    <w:rsid w:val="00AF5B0C"/>
    <w:rsid w:val="00AF5FB8"/>
    <w:rsid w:val="00AF7339"/>
    <w:rsid w:val="00B03E5E"/>
    <w:rsid w:val="00B046D9"/>
    <w:rsid w:val="00B070E5"/>
    <w:rsid w:val="00B144F1"/>
    <w:rsid w:val="00B14A03"/>
    <w:rsid w:val="00B22DDD"/>
    <w:rsid w:val="00B24825"/>
    <w:rsid w:val="00B25726"/>
    <w:rsid w:val="00B31CFB"/>
    <w:rsid w:val="00B423E4"/>
    <w:rsid w:val="00B42469"/>
    <w:rsid w:val="00B531BD"/>
    <w:rsid w:val="00B55450"/>
    <w:rsid w:val="00B60B25"/>
    <w:rsid w:val="00B81003"/>
    <w:rsid w:val="00B81E12"/>
    <w:rsid w:val="00B902B9"/>
    <w:rsid w:val="00B9419B"/>
    <w:rsid w:val="00BA27B8"/>
    <w:rsid w:val="00BA5ACD"/>
    <w:rsid w:val="00BB38C6"/>
    <w:rsid w:val="00BB665F"/>
    <w:rsid w:val="00BC269D"/>
    <w:rsid w:val="00BC26AB"/>
    <w:rsid w:val="00BC5722"/>
    <w:rsid w:val="00BC5B81"/>
    <w:rsid w:val="00BD2249"/>
    <w:rsid w:val="00BD37D8"/>
    <w:rsid w:val="00BD4D4C"/>
    <w:rsid w:val="00BD65C0"/>
    <w:rsid w:val="00BE23DB"/>
    <w:rsid w:val="00BE2C19"/>
    <w:rsid w:val="00BE6403"/>
    <w:rsid w:val="00BE7DC0"/>
    <w:rsid w:val="00BF46C3"/>
    <w:rsid w:val="00C02455"/>
    <w:rsid w:val="00C03B2B"/>
    <w:rsid w:val="00C03ED3"/>
    <w:rsid w:val="00C10851"/>
    <w:rsid w:val="00C2246D"/>
    <w:rsid w:val="00C2511E"/>
    <w:rsid w:val="00C251F7"/>
    <w:rsid w:val="00C27366"/>
    <w:rsid w:val="00C31D25"/>
    <w:rsid w:val="00C323ED"/>
    <w:rsid w:val="00C327BB"/>
    <w:rsid w:val="00C341E2"/>
    <w:rsid w:val="00C37472"/>
    <w:rsid w:val="00C43FDE"/>
    <w:rsid w:val="00C4413E"/>
    <w:rsid w:val="00C4426B"/>
    <w:rsid w:val="00C456F1"/>
    <w:rsid w:val="00C56F20"/>
    <w:rsid w:val="00C60428"/>
    <w:rsid w:val="00C60892"/>
    <w:rsid w:val="00C64B73"/>
    <w:rsid w:val="00C674CD"/>
    <w:rsid w:val="00C70F94"/>
    <w:rsid w:val="00C71AA2"/>
    <w:rsid w:val="00C77809"/>
    <w:rsid w:val="00C77BC1"/>
    <w:rsid w:val="00C82A76"/>
    <w:rsid w:val="00C82B93"/>
    <w:rsid w:val="00C865A1"/>
    <w:rsid w:val="00C9044D"/>
    <w:rsid w:val="00C92882"/>
    <w:rsid w:val="00C94A5A"/>
    <w:rsid w:val="00C9554D"/>
    <w:rsid w:val="00CA3690"/>
    <w:rsid w:val="00CA404C"/>
    <w:rsid w:val="00CA4A97"/>
    <w:rsid w:val="00CA6ADA"/>
    <w:rsid w:val="00CB147F"/>
    <w:rsid w:val="00CB37FA"/>
    <w:rsid w:val="00CB45B1"/>
    <w:rsid w:val="00CC22A9"/>
    <w:rsid w:val="00CC3226"/>
    <w:rsid w:val="00CC4B64"/>
    <w:rsid w:val="00CC6C6C"/>
    <w:rsid w:val="00CD62BD"/>
    <w:rsid w:val="00CD765E"/>
    <w:rsid w:val="00CE249E"/>
    <w:rsid w:val="00CE4630"/>
    <w:rsid w:val="00CE5375"/>
    <w:rsid w:val="00CE77E8"/>
    <w:rsid w:val="00CF025F"/>
    <w:rsid w:val="00CF5ABE"/>
    <w:rsid w:val="00CF5DCE"/>
    <w:rsid w:val="00D01298"/>
    <w:rsid w:val="00D1453D"/>
    <w:rsid w:val="00D14A69"/>
    <w:rsid w:val="00D3099A"/>
    <w:rsid w:val="00D34284"/>
    <w:rsid w:val="00D4606A"/>
    <w:rsid w:val="00D509FA"/>
    <w:rsid w:val="00D6065F"/>
    <w:rsid w:val="00D64009"/>
    <w:rsid w:val="00D76A9C"/>
    <w:rsid w:val="00D83166"/>
    <w:rsid w:val="00D858CE"/>
    <w:rsid w:val="00D91693"/>
    <w:rsid w:val="00D92202"/>
    <w:rsid w:val="00D96326"/>
    <w:rsid w:val="00DA02B8"/>
    <w:rsid w:val="00DB2C86"/>
    <w:rsid w:val="00DB5150"/>
    <w:rsid w:val="00DB628B"/>
    <w:rsid w:val="00DB79F3"/>
    <w:rsid w:val="00DC6AFB"/>
    <w:rsid w:val="00DD25F9"/>
    <w:rsid w:val="00DD5B19"/>
    <w:rsid w:val="00DD5FB8"/>
    <w:rsid w:val="00DE3D3D"/>
    <w:rsid w:val="00DE7FBC"/>
    <w:rsid w:val="00DF0598"/>
    <w:rsid w:val="00DF2CB5"/>
    <w:rsid w:val="00DF48A2"/>
    <w:rsid w:val="00E0308F"/>
    <w:rsid w:val="00E03427"/>
    <w:rsid w:val="00E14774"/>
    <w:rsid w:val="00E15748"/>
    <w:rsid w:val="00E16F7A"/>
    <w:rsid w:val="00E2452D"/>
    <w:rsid w:val="00E33ABD"/>
    <w:rsid w:val="00E35A54"/>
    <w:rsid w:val="00E36543"/>
    <w:rsid w:val="00E41BC8"/>
    <w:rsid w:val="00E52EE8"/>
    <w:rsid w:val="00E548B9"/>
    <w:rsid w:val="00E55F24"/>
    <w:rsid w:val="00E61F15"/>
    <w:rsid w:val="00E71EE9"/>
    <w:rsid w:val="00E731C0"/>
    <w:rsid w:val="00E73F3F"/>
    <w:rsid w:val="00E8068F"/>
    <w:rsid w:val="00E83ACC"/>
    <w:rsid w:val="00E83D21"/>
    <w:rsid w:val="00E93AC1"/>
    <w:rsid w:val="00E974CB"/>
    <w:rsid w:val="00EA2E09"/>
    <w:rsid w:val="00EA2EFA"/>
    <w:rsid w:val="00EA35F6"/>
    <w:rsid w:val="00EA4A46"/>
    <w:rsid w:val="00EA791B"/>
    <w:rsid w:val="00EB091F"/>
    <w:rsid w:val="00EB1887"/>
    <w:rsid w:val="00EB44FE"/>
    <w:rsid w:val="00EB4CC3"/>
    <w:rsid w:val="00EC19D7"/>
    <w:rsid w:val="00EC7E5C"/>
    <w:rsid w:val="00ED4D4D"/>
    <w:rsid w:val="00EE182E"/>
    <w:rsid w:val="00EE3BCA"/>
    <w:rsid w:val="00EE7681"/>
    <w:rsid w:val="00EE7AF9"/>
    <w:rsid w:val="00EE7D2D"/>
    <w:rsid w:val="00EF370E"/>
    <w:rsid w:val="00EF736B"/>
    <w:rsid w:val="00F10D92"/>
    <w:rsid w:val="00F1277D"/>
    <w:rsid w:val="00F156C2"/>
    <w:rsid w:val="00F27AB2"/>
    <w:rsid w:val="00F35712"/>
    <w:rsid w:val="00F37602"/>
    <w:rsid w:val="00F37DFE"/>
    <w:rsid w:val="00F470E8"/>
    <w:rsid w:val="00F4751A"/>
    <w:rsid w:val="00F50E73"/>
    <w:rsid w:val="00F52C04"/>
    <w:rsid w:val="00F551E6"/>
    <w:rsid w:val="00F56129"/>
    <w:rsid w:val="00F56477"/>
    <w:rsid w:val="00F56943"/>
    <w:rsid w:val="00F64C3E"/>
    <w:rsid w:val="00F65CC8"/>
    <w:rsid w:val="00F70C55"/>
    <w:rsid w:val="00F749EE"/>
    <w:rsid w:val="00F7773D"/>
    <w:rsid w:val="00F81563"/>
    <w:rsid w:val="00F82884"/>
    <w:rsid w:val="00F9521C"/>
    <w:rsid w:val="00F96B74"/>
    <w:rsid w:val="00FA0B5C"/>
    <w:rsid w:val="00FA310B"/>
    <w:rsid w:val="00FA6CD9"/>
    <w:rsid w:val="00FA7CFC"/>
    <w:rsid w:val="00FB6417"/>
    <w:rsid w:val="00FB6FDF"/>
    <w:rsid w:val="00FB7C82"/>
    <w:rsid w:val="00FC3211"/>
    <w:rsid w:val="00FD34AC"/>
    <w:rsid w:val="00FD399B"/>
    <w:rsid w:val="00FD39BA"/>
    <w:rsid w:val="00FE21DA"/>
    <w:rsid w:val="00FE604B"/>
    <w:rsid w:val="00FF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B587D"/>
  <w15:chartTrackingRefBased/>
  <w15:docId w15:val="{72BED93E-47D2-4D61-9F78-8313D1EB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0D"/>
  </w:style>
  <w:style w:type="paragraph" w:styleId="Heading1">
    <w:name w:val="heading 1"/>
    <w:basedOn w:val="Normal"/>
    <w:next w:val="Normal"/>
    <w:link w:val="Heading1Char"/>
    <w:uiPriority w:val="9"/>
    <w:qFormat/>
    <w:rsid w:val="004A28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28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D29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24C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4A4"/>
    <w:pPr>
      <w:ind w:left="720"/>
      <w:contextualSpacing/>
    </w:pPr>
  </w:style>
  <w:style w:type="character" w:styleId="Hyperlink">
    <w:name w:val="Hyperlink"/>
    <w:basedOn w:val="DefaultParagraphFont"/>
    <w:uiPriority w:val="99"/>
    <w:unhideWhenUsed/>
    <w:rsid w:val="0038284E"/>
    <w:rPr>
      <w:color w:val="0000FF" w:themeColor="hyperlink"/>
      <w:u w:val="single"/>
    </w:rPr>
  </w:style>
  <w:style w:type="character" w:styleId="CommentReference">
    <w:name w:val="annotation reference"/>
    <w:basedOn w:val="DefaultParagraphFont"/>
    <w:uiPriority w:val="99"/>
    <w:semiHidden/>
    <w:unhideWhenUsed/>
    <w:rsid w:val="0038284E"/>
    <w:rPr>
      <w:sz w:val="16"/>
      <w:szCs w:val="16"/>
    </w:rPr>
  </w:style>
  <w:style w:type="paragraph" w:styleId="CommentText">
    <w:name w:val="annotation text"/>
    <w:basedOn w:val="Normal"/>
    <w:link w:val="CommentTextChar"/>
    <w:uiPriority w:val="99"/>
    <w:unhideWhenUsed/>
    <w:rsid w:val="0038284E"/>
    <w:pPr>
      <w:spacing w:line="240" w:lineRule="auto"/>
    </w:pPr>
    <w:rPr>
      <w:sz w:val="20"/>
      <w:szCs w:val="20"/>
    </w:rPr>
  </w:style>
  <w:style w:type="character" w:customStyle="1" w:styleId="CommentTextChar">
    <w:name w:val="Comment Text Char"/>
    <w:basedOn w:val="DefaultParagraphFont"/>
    <w:link w:val="CommentText"/>
    <w:uiPriority w:val="99"/>
    <w:rsid w:val="0038284E"/>
    <w:rPr>
      <w:sz w:val="20"/>
      <w:szCs w:val="20"/>
    </w:rPr>
  </w:style>
  <w:style w:type="table" w:styleId="TableGrid">
    <w:name w:val="Table Grid"/>
    <w:basedOn w:val="TableNormal"/>
    <w:uiPriority w:val="39"/>
    <w:rsid w:val="0038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2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8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28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A286C"/>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62D22"/>
    <w:rPr>
      <w:b/>
      <w:bCs/>
    </w:rPr>
  </w:style>
  <w:style w:type="character" w:customStyle="1" w:styleId="CommentSubjectChar">
    <w:name w:val="Comment Subject Char"/>
    <w:basedOn w:val="CommentTextChar"/>
    <w:link w:val="CommentSubject"/>
    <w:uiPriority w:val="99"/>
    <w:semiHidden/>
    <w:rsid w:val="00862D22"/>
    <w:rPr>
      <w:b/>
      <w:bCs/>
      <w:sz w:val="20"/>
      <w:szCs w:val="20"/>
    </w:rPr>
  </w:style>
  <w:style w:type="paragraph" w:styleId="Revision">
    <w:name w:val="Revision"/>
    <w:hidden/>
    <w:uiPriority w:val="99"/>
    <w:semiHidden/>
    <w:rsid w:val="009F1BD9"/>
    <w:pPr>
      <w:spacing w:after="0" w:line="240" w:lineRule="auto"/>
    </w:pPr>
  </w:style>
  <w:style w:type="character" w:customStyle="1" w:styleId="Heading3Char">
    <w:name w:val="Heading 3 Char"/>
    <w:basedOn w:val="DefaultParagraphFont"/>
    <w:link w:val="Heading3"/>
    <w:uiPriority w:val="9"/>
    <w:rsid w:val="005D296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92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82"/>
  </w:style>
  <w:style w:type="paragraph" w:styleId="Footer">
    <w:name w:val="footer"/>
    <w:basedOn w:val="Normal"/>
    <w:link w:val="FooterChar"/>
    <w:uiPriority w:val="99"/>
    <w:unhideWhenUsed/>
    <w:rsid w:val="00C92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82"/>
  </w:style>
  <w:style w:type="table" w:styleId="GridTable2-Accent1">
    <w:name w:val="Grid Table 2 Accent 1"/>
    <w:basedOn w:val="TableNormal"/>
    <w:uiPriority w:val="47"/>
    <w:rsid w:val="002C36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unhideWhenUsed/>
    <w:rsid w:val="00942691"/>
    <w:rPr>
      <w:color w:val="2B579A"/>
      <w:shd w:val="clear" w:color="auto" w:fill="E1DFDD"/>
    </w:rPr>
  </w:style>
  <w:style w:type="character" w:styleId="UnresolvedMention">
    <w:name w:val="Unresolved Mention"/>
    <w:basedOn w:val="DefaultParagraphFont"/>
    <w:uiPriority w:val="99"/>
    <w:semiHidden/>
    <w:unhideWhenUsed/>
    <w:rsid w:val="00993139"/>
    <w:rPr>
      <w:color w:val="605E5C"/>
      <w:shd w:val="clear" w:color="auto" w:fill="E1DFDD"/>
    </w:rPr>
  </w:style>
  <w:style w:type="character" w:customStyle="1" w:styleId="Heading4Char">
    <w:name w:val="Heading 4 Char"/>
    <w:basedOn w:val="DefaultParagraphFont"/>
    <w:link w:val="Heading4"/>
    <w:uiPriority w:val="9"/>
    <w:rsid w:val="00A24CDA"/>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2875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4998">
      <w:bodyDiv w:val="1"/>
      <w:marLeft w:val="0"/>
      <w:marRight w:val="0"/>
      <w:marTop w:val="0"/>
      <w:marBottom w:val="0"/>
      <w:divBdr>
        <w:top w:val="none" w:sz="0" w:space="0" w:color="auto"/>
        <w:left w:val="none" w:sz="0" w:space="0" w:color="auto"/>
        <w:bottom w:val="none" w:sz="0" w:space="0" w:color="auto"/>
        <w:right w:val="none" w:sz="0" w:space="0" w:color="auto"/>
      </w:divBdr>
    </w:div>
    <w:div w:id="97725179">
      <w:bodyDiv w:val="1"/>
      <w:marLeft w:val="0"/>
      <w:marRight w:val="0"/>
      <w:marTop w:val="0"/>
      <w:marBottom w:val="0"/>
      <w:divBdr>
        <w:top w:val="none" w:sz="0" w:space="0" w:color="auto"/>
        <w:left w:val="none" w:sz="0" w:space="0" w:color="auto"/>
        <w:bottom w:val="none" w:sz="0" w:space="0" w:color="auto"/>
        <w:right w:val="none" w:sz="0" w:space="0" w:color="auto"/>
      </w:divBdr>
    </w:div>
    <w:div w:id="208347591">
      <w:bodyDiv w:val="1"/>
      <w:marLeft w:val="0"/>
      <w:marRight w:val="0"/>
      <w:marTop w:val="0"/>
      <w:marBottom w:val="0"/>
      <w:divBdr>
        <w:top w:val="none" w:sz="0" w:space="0" w:color="auto"/>
        <w:left w:val="none" w:sz="0" w:space="0" w:color="auto"/>
        <w:bottom w:val="none" w:sz="0" w:space="0" w:color="auto"/>
        <w:right w:val="none" w:sz="0" w:space="0" w:color="auto"/>
      </w:divBdr>
    </w:div>
    <w:div w:id="422456848">
      <w:bodyDiv w:val="1"/>
      <w:marLeft w:val="0"/>
      <w:marRight w:val="0"/>
      <w:marTop w:val="0"/>
      <w:marBottom w:val="0"/>
      <w:divBdr>
        <w:top w:val="none" w:sz="0" w:space="0" w:color="auto"/>
        <w:left w:val="none" w:sz="0" w:space="0" w:color="auto"/>
        <w:bottom w:val="none" w:sz="0" w:space="0" w:color="auto"/>
        <w:right w:val="none" w:sz="0" w:space="0" w:color="auto"/>
      </w:divBdr>
    </w:div>
    <w:div w:id="427310767">
      <w:bodyDiv w:val="1"/>
      <w:marLeft w:val="0"/>
      <w:marRight w:val="0"/>
      <w:marTop w:val="0"/>
      <w:marBottom w:val="0"/>
      <w:divBdr>
        <w:top w:val="none" w:sz="0" w:space="0" w:color="auto"/>
        <w:left w:val="none" w:sz="0" w:space="0" w:color="auto"/>
        <w:bottom w:val="none" w:sz="0" w:space="0" w:color="auto"/>
        <w:right w:val="none" w:sz="0" w:space="0" w:color="auto"/>
      </w:divBdr>
    </w:div>
    <w:div w:id="491606093">
      <w:bodyDiv w:val="1"/>
      <w:marLeft w:val="0"/>
      <w:marRight w:val="0"/>
      <w:marTop w:val="0"/>
      <w:marBottom w:val="0"/>
      <w:divBdr>
        <w:top w:val="none" w:sz="0" w:space="0" w:color="auto"/>
        <w:left w:val="none" w:sz="0" w:space="0" w:color="auto"/>
        <w:bottom w:val="none" w:sz="0" w:space="0" w:color="auto"/>
        <w:right w:val="none" w:sz="0" w:space="0" w:color="auto"/>
      </w:divBdr>
    </w:div>
    <w:div w:id="733621238">
      <w:bodyDiv w:val="1"/>
      <w:marLeft w:val="0"/>
      <w:marRight w:val="0"/>
      <w:marTop w:val="0"/>
      <w:marBottom w:val="0"/>
      <w:divBdr>
        <w:top w:val="none" w:sz="0" w:space="0" w:color="auto"/>
        <w:left w:val="none" w:sz="0" w:space="0" w:color="auto"/>
        <w:bottom w:val="none" w:sz="0" w:space="0" w:color="auto"/>
        <w:right w:val="none" w:sz="0" w:space="0" w:color="auto"/>
      </w:divBdr>
    </w:div>
    <w:div w:id="765004840">
      <w:bodyDiv w:val="1"/>
      <w:marLeft w:val="0"/>
      <w:marRight w:val="0"/>
      <w:marTop w:val="0"/>
      <w:marBottom w:val="0"/>
      <w:divBdr>
        <w:top w:val="none" w:sz="0" w:space="0" w:color="auto"/>
        <w:left w:val="none" w:sz="0" w:space="0" w:color="auto"/>
        <w:bottom w:val="none" w:sz="0" w:space="0" w:color="auto"/>
        <w:right w:val="none" w:sz="0" w:space="0" w:color="auto"/>
      </w:divBdr>
    </w:div>
    <w:div w:id="784350749">
      <w:bodyDiv w:val="1"/>
      <w:marLeft w:val="0"/>
      <w:marRight w:val="0"/>
      <w:marTop w:val="0"/>
      <w:marBottom w:val="0"/>
      <w:divBdr>
        <w:top w:val="none" w:sz="0" w:space="0" w:color="auto"/>
        <w:left w:val="none" w:sz="0" w:space="0" w:color="auto"/>
        <w:bottom w:val="none" w:sz="0" w:space="0" w:color="auto"/>
        <w:right w:val="none" w:sz="0" w:space="0" w:color="auto"/>
      </w:divBdr>
    </w:div>
    <w:div w:id="828441191">
      <w:bodyDiv w:val="1"/>
      <w:marLeft w:val="0"/>
      <w:marRight w:val="0"/>
      <w:marTop w:val="0"/>
      <w:marBottom w:val="0"/>
      <w:divBdr>
        <w:top w:val="none" w:sz="0" w:space="0" w:color="auto"/>
        <w:left w:val="none" w:sz="0" w:space="0" w:color="auto"/>
        <w:bottom w:val="none" w:sz="0" w:space="0" w:color="auto"/>
        <w:right w:val="none" w:sz="0" w:space="0" w:color="auto"/>
      </w:divBdr>
    </w:div>
    <w:div w:id="957489982">
      <w:bodyDiv w:val="1"/>
      <w:marLeft w:val="0"/>
      <w:marRight w:val="0"/>
      <w:marTop w:val="0"/>
      <w:marBottom w:val="0"/>
      <w:divBdr>
        <w:top w:val="none" w:sz="0" w:space="0" w:color="auto"/>
        <w:left w:val="none" w:sz="0" w:space="0" w:color="auto"/>
        <w:bottom w:val="none" w:sz="0" w:space="0" w:color="auto"/>
        <w:right w:val="none" w:sz="0" w:space="0" w:color="auto"/>
      </w:divBdr>
    </w:div>
    <w:div w:id="1020933421">
      <w:bodyDiv w:val="1"/>
      <w:marLeft w:val="0"/>
      <w:marRight w:val="0"/>
      <w:marTop w:val="0"/>
      <w:marBottom w:val="0"/>
      <w:divBdr>
        <w:top w:val="none" w:sz="0" w:space="0" w:color="auto"/>
        <w:left w:val="none" w:sz="0" w:space="0" w:color="auto"/>
        <w:bottom w:val="none" w:sz="0" w:space="0" w:color="auto"/>
        <w:right w:val="none" w:sz="0" w:space="0" w:color="auto"/>
      </w:divBdr>
    </w:div>
    <w:div w:id="1045905342">
      <w:bodyDiv w:val="1"/>
      <w:marLeft w:val="0"/>
      <w:marRight w:val="0"/>
      <w:marTop w:val="0"/>
      <w:marBottom w:val="0"/>
      <w:divBdr>
        <w:top w:val="none" w:sz="0" w:space="0" w:color="auto"/>
        <w:left w:val="none" w:sz="0" w:space="0" w:color="auto"/>
        <w:bottom w:val="none" w:sz="0" w:space="0" w:color="auto"/>
        <w:right w:val="none" w:sz="0" w:space="0" w:color="auto"/>
      </w:divBdr>
    </w:div>
    <w:div w:id="1094519369">
      <w:bodyDiv w:val="1"/>
      <w:marLeft w:val="0"/>
      <w:marRight w:val="0"/>
      <w:marTop w:val="0"/>
      <w:marBottom w:val="0"/>
      <w:divBdr>
        <w:top w:val="none" w:sz="0" w:space="0" w:color="auto"/>
        <w:left w:val="none" w:sz="0" w:space="0" w:color="auto"/>
        <w:bottom w:val="none" w:sz="0" w:space="0" w:color="auto"/>
        <w:right w:val="none" w:sz="0" w:space="0" w:color="auto"/>
      </w:divBdr>
    </w:div>
    <w:div w:id="1220048201">
      <w:bodyDiv w:val="1"/>
      <w:marLeft w:val="0"/>
      <w:marRight w:val="0"/>
      <w:marTop w:val="0"/>
      <w:marBottom w:val="0"/>
      <w:divBdr>
        <w:top w:val="none" w:sz="0" w:space="0" w:color="auto"/>
        <w:left w:val="none" w:sz="0" w:space="0" w:color="auto"/>
        <w:bottom w:val="none" w:sz="0" w:space="0" w:color="auto"/>
        <w:right w:val="none" w:sz="0" w:space="0" w:color="auto"/>
      </w:divBdr>
    </w:div>
    <w:div w:id="1221673644">
      <w:bodyDiv w:val="1"/>
      <w:marLeft w:val="0"/>
      <w:marRight w:val="0"/>
      <w:marTop w:val="0"/>
      <w:marBottom w:val="0"/>
      <w:divBdr>
        <w:top w:val="none" w:sz="0" w:space="0" w:color="auto"/>
        <w:left w:val="none" w:sz="0" w:space="0" w:color="auto"/>
        <w:bottom w:val="none" w:sz="0" w:space="0" w:color="auto"/>
        <w:right w:val="none" w:sz="0" w:space="0" w:color="auto"/>
      </w:divBdr>
    </w:div>
    <w:div w:id="1262028989">
      <w:bodyDiv w:val="1"/>
      <w:marLeft w:val="0"/>
      <w:marRight w:val="0"/>
      <w:marTop w:val="0"/>
      <w:marBottom w:val="0"/>
      <w:divBdr>
        <w:top w:val="none" w:sz="0" w:space="0" w:color="auto"/>
        <w:left w:val="none" w:sz="0" w:space="0" w:color="auto"/>
        <w:bottom w:val="none" w:sz="0" w:space="0" w:color="auto"/>
        <w:right w:val="none" w:sz="0" w:space="0" w:color="auto"/>
      </w:divBdr>
    </w:div>
    <w:div w:id="1289780377">
      <w:bodyDiv w:val="1"/>
      <w:marLeft w:val="0"/>
      <w:marRight w:val="0"/>
      <w:marTop w:val="0"/>
      <w:marBottom w:val="0"/>
      <w:divBdr>
        <w:top w:val="none" w:sz="0" w:space="0" w:color="auto"/>
        <w:left w:val="none" w:sz="0" w:space="0" w:color="auto"/>
        <w:bottom w:val="none" w:sz="0" w:space="0" w:color="auto"/>
        <w:right w:val="none" w:sz="0" w:space="0" w:color="auto"/>
      </w:divBdr>
    </w:div>
    <w:div w:id="1343244160">
      <w:bodyDiv w:val="1"/>
      <w:marLeft w:val="0"/>
      <w:marRight w:val="0"/>
      <w:marTop w:val="0"/>
      <w:marBottom w:val="0"/>
      <w:divBdr>
        <w:top w:val="none" w:sz="0" w:space="0" w:color="auto"/>
        <w:left w:val="none" w:sz="0" w:space="0" w:color="auto"/>
        <w:bottom w:val="none" w:sz="0" w:space="0" w:color="auto"/>
        <w:right w:val="none" w:sz="0" w:space="0" w:color="auto"/>
      </w:divBdr>
    </w:div>
    <w:div w:id="1360159695">
      <w:bodyDiv w:val="1"/>
      <w:marLeft w:val="0"/>
      <w:marRight w:val="0"/>
      <w:marTop w:val="0"/>
      <w:marBottom w:val="0"/>
      <w:divBdr>
        <w:top w:val="none" w:sz="0" w:space="0" w:color="auto"/>
        <w:left w:val="none" w:sz="0" w:space="0" w:color="auto"/>
        <w:bottom w:val="none" w:sz="0" w:space="0" w:color="auto"/>
        <w:right w:val="none" w:sz="0" w:space="0" w:color="auto"/>
      </w:divBdr>
    </w:div>
    <w:div w:id="1497112750">
      <w:bodyDiv w:val="1"/>
      <w:marLeft w:val="0"/>
      <w:marRight w:val="0"/>
      <w:marTop w:val="0"/>
      <w:marBottom w:val="0"/>
      <w:divBdr>
        <w:top w:val="none" w:sz="0" w:space="0" w:color="auto"/>
        <w:left w:val="none" w:sz="0" w:space="0" w:color="auto"/>
        <w:bottom w:val="none" w:sz="0" w:space="0" w:color="auto"/>
        <w:right w:val="none" w:sz="0" w:space="0" w:color="auto"/>
      </w:divBdr>
    </w:div>
    <w:div w:id="1717897364">
      <w:bodyDiv w:val="1"/>
      <w:marLeft w:val="0"/>
      <w:marRight w:val="0"/>
      <w:marTop w:val="0"/>
      <w:marBottom w:val="0"/>
      <w:divBdr>
        <w:top w:val="none" w:sz="0" w:space="0" w:color="auto"/>
        <w:left w:val="none" w:sz="0" w:space="0" w:color="auto"/>
        <w:bottom w:val="none" w:sz="0" w:space="0" w:color="auto"/>
        <w:right w:val="none" w:sz="0" w:space="0" w:color="auto"/>
      </w:divBdr>
    </w:div>
    <w:div w:id="1766458887">
      <w:bodyDiv w:val="1"/>
      <w:marLeft w:val="0"/>
      <w:marRight w:val="0"/>
      <w:marTop w:val="0"/>
      <w:marBottom w:val="0"/>
      <w:divBdr>
        <w:top w:val="none" w:sz="0" w:space="0" w:color="auto"/>
        <w:left w:val="none" w:sz="0" w:space="0" w:color="auto"/>
        <w:bottom w:val="none" w:sz="0" w:space="0" w:color="auto"/>
        <w:right w:val="none" w:sz="0" w:space="0" w:color="auto"/>
      </w:divBdr>
    </w:div>
    <w:div w:id="1836262776">
      <w:bodyDiv w:val="1"/>
      <w:marLeft w:val="0"/>
      <w:marRight w:val="0"/>
      <w:marTop w:val="0"/>
      <w:marBottom w:val="0"/>
      <w:divBdr>
        <w:top w:val="none" w:sz="0" w:space="0" w:color="auto"/>
        <w:left w:val="none" w:sz="0" w:space="0" w:color="auto"/>
        <w:bottom w:val="none" w:sz="0" w:space="0" w:color="auto"/>
        <w:right w:val="none" w:sz="0" w:space="0" w:color="auto"/>
      </w:divBdr>
    </w:div>
    <w:div w:id="1904365425">
      <w:bodyDiv w:val="1"/>
      <w:marLeft w:val="0"/>
      <w:marRight w:val="0"/>
      <w:marTop w:val="0"/>
      <w:marBottom w:val="0"/>
      <w:divBdr>
        <w:top w:val="none" w:sz="0" w:space="0" w:color="auto"/>
        <w:left w:val="none" w:sz="0" w:space="0" w:color="auto"/>
        <w:bottom w:val="none" w:sz="0" w:space="0" w:color="auto"/>
        <w:right w:val="none" w:sz="0" w:space="0" w:color="auto"/>
      </w:divBdr>
    </w:div>
    <w:div w:id="1935625836">
      <w:bodyDiv w:val="1"/>
      <w:marLeft w:val="0"/>
      <w:marRight w:val="0"/>
      <w:marTop w:val="0"/>
      <w:marBottom w:val="0"/>
      <w:divBdr>
        <w:top w:val="none" w:sz="0" w:space="0" w:color="auto"/>
        <w:left w:val="none" w:sz="0" w:space="0" w:color="auto"/>
        <w:bottom w:val="none" w:sz="0" w:space="0" w:color="auto"/>
        <w:right w:val="none" w:sz="0" w:space="0" w:color="auto"/>
      </w:divBdr>
    </w:div>
    <w:div w:id="19737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icb.org/for-cmcas/job-analys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C051E61-C158-44D6-99FE-120D660AD2F2}"/>
      </w:docPartPr>
      <w:docPartBody>
        <w:p w:rsidR="00C95F59" w:rsidRDefault="00C95F59">
          <w:r w:rsidRPr="00D45EA7">
            <w:rPr>
              <w:rStyle w:val="PlaceholderText"/>
            </w:rPr>
            <w:t>Click or tap here to enter text.</w:t>
          </w:r>
        </w:p>
      </w:docPartBody>
    </w:docPart>
    <w:docPart>
      <w:docPartPr>
        <w:name w:val="A07D3557A2024FB785F05940A3BC6581"/>
        <w:category>
          <w:name w:val="General"/>
          <w:gallery w:val="placeholder"/>
        </w:category>
        <w:types>
          <w:type w:val="bbPlcHdr"/>
        </w:types>
        <w:behaviors>
          <w:behavior w:val="content"/>
        </w:behaviors>
        <w:guid w:val="{40E97B88-4E44-4E3E-97AD-A03C592BF214}"/>
      </w:docPartPr>
      <w:docPartBody>
        <w:p w:rsidR="00C95F59" w:rsidRDefault="00C95F59" w:rsidP="00C95F59">
          <w:pPr>
            <w:pStyle w:val="A07D3557A2024FB785F05940A3BC6581"/>
          </w:pPr>
          <w:r w:rsidRPr="00D45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59"/>
    <w:rsid w:val="00134B85"/>
    <w:rsid w:val="002111A7"/>
    <w:rsid w:val="003474A7"/>
    <w:rsid w:val="007261AC"/>
    <w:rsid w:val="0072631B"/>
    <w:rsid w:val="00754B80"/>
    <w:rsid w:val="00A77A3A"/>
    <w:rsid w:val="00B724B0"/>
    <w:rsid w:val="00B92904"/>
    <w:rsid w:val="00C9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F59"/>
    <w:rPr>
      <w:color w:val="666666"/>
    </w:rPr>
  </w:style>
  <w:style w:type="paragraph" w:customStyle="1" w:styleId="A07D3557A2024FB785F05940A3BC6581">
    <w:name w:val="A07D3557A2024FB785F05940A3BC6581"/>
    <w:rsid w:val="00C95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9d2c4c-8018-4fb6-8989-76d24f9fcc31" xsi:nil="true"/>
    <lcf76f155ced4ddcb4097134ff3c332f xmlns="fa825b94-7123-4f29-b927-9521b5c87216">
      <Terms xmlns="http://schemas.microsoft.com/office/infopath/2007/PartnerControls"/>
    </lcf76f155ced4ddcb4097134ff3c332f>
    <SharedWithUsers xmlns="039d2c4c-8018-4fb6-8989-76d24f9fcc31">
      <UserInfo>
        <DisplayName>Matthew Green</DisplayName>
        <AccountId>12</AccountId>
        <AccountType/>
      </UserInfo>
      <UserInfo>
        <DisplayName>Madeline Hay</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BD95194D4BA4AAD18846E3C48F26D" ma:contentTypeVersion="15" ma:contentTypeDescription="Create a new document." ma:contentTypeScope="" ma:versionID="c44356e6718bd92273a5b9a38920ac22">
  <xsd:schema xmlns:xsd="http://www.w3.org/2001/XMLSchema" xmlns:xs="http://www.w3.org/2001/XMLSchema" xmlns:p="http://schemas.microsoft.com/office/2006/metadata/properties" xmlns:ns2="fa825b94-7123-4f29-b927-9521b5c87216" xmlns:ns3="039d2c4c-8018-4fb6-8989-76d24f9fcc31" targetNamespace="http://schemas.microsoft.com/office/2006/metadata/properties" ma:root="true" ma:fieldsID="4719ab35387fdeb8ba5c623ffd9c2cc0" ns2:_="" ns3:_="">
    <xsd:import namespace="fa825b94-7123-4f29-b927-9521b5c87216"/>
    <xsd:import namespace="039d2c4c-8018-4fb6-8989-76d24f9fc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25b94-7123-4f29-b927-9521b5c87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748094-e708-47a9-b70e-952f1b02165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9d2c4c-8018-4fb6-8989-76d24f9fcc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94e2a60-edb1-41c8-b38f-38aad90c7e04}" ma:internalName="TaxCatchAll" ma:showField="CatchAllData" ma:web="039d2c4c-8018-4fb6-8989-76d24f9fcc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4CFC0-3E91-4E5F-8F5F-C7923DFCD778}">
  <ds:schemaRefs>
    <ds:schemaRef ds:uri="http://schemas.microsoft.com/sharepoint/v3/contenttype/forms"/>
  </ds:schemaRefs>
</ds:datastoreItem>
</file>

<file path=customXml/itemProps2.xml><?xml version="1.0" encoding="utf-8"?>
<ds:datastoreItem xmlns:ds="http://schemas.openxmlformats.org/officeDocument/2006/customXml" ds:itemID="{D9FFAC32-F47B-45A1-9F48-7E3B8EF39FE8}">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039d2c4c-8018-4fb6-8989-76d24f9fcc31"/>
    <ds:schemaRef ds:uri="http://purl.org/dc/elements/1.1/"/>
    <ds:schemaRef ds:uri="fa825b94-7123-4f29-b927-9521b5c8721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A4B288-DF41-4F9C-BDF0-BAE66812DFD8}">
  <ds:schemaRefs>
    <ds:schemaRef ds:uri="http://schemas.openxmlformats.org/officeDocument/2006/bibliography"/>
  </ds:schemaRefs>
</ds:datastoreItem>
</file>

<file path=customXml/itemProps4.xml><?xml version="1.0" encoding="utf-8"?>
<ds:datastoreItem xmlns:ds="http://schemas.openxmlformats.org/officeDocument/2006/customXml" ds:itemID="{F80BA131-75AE-465F-9F1C-22795034E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25b94-7123-4f29-b927-9521b5c87216"/>
    <ds:schemaRef ds:uri="039d2c4c-8018-4fb6-8989-76d24f9fc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7514</Words>
  <Characters>48188</Characters>
  <Application>Microsoft Office Word</Application>
  <DocSecurity>4</DocSecurity>
  <Lines>401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55591</CharactersWithSpaces>
  <SharedDoc>false</SharedDoc>
  <HLinks>
    <vt:vector size="6" baseType="variant">
      <vt:variant>
        <vt:i4>5570572</vt:i4>
      </vt:variant>
      <vt:variant>
        <vt:i4>0</vt:i4>
      </vt:variant>
      <vt:variant>
        <vt:i4>0</vt:i4>
      </vt:variant>
      <vt:variant>
        <vt:i4>5</vt:i4>
      </vt:variant>
      <vt:variant>
        <vt:lpwstr>https://www.camicb.org/for-cmcas/job-analysis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Green</dc:creator>
  <cp:keywords/>
  <dc:description/>
  <cp:lastModifiedBy>Laura A. Lozano</cp:lastModifiedBy>
  <cp:revision>2</cp:revision>
  <dcterms:created xsi:type="dcterms:W3CDTF">2025-01-09T22:24:00Z</dcterms:created>
  <dcterms:modified xsi:type="dcterms:W3CDTF">2025-01-09T22:24:00Z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1d5389e9b9af4253fa853502ff7e6cc000277d174d468f6dd1e2141c48e13735</vt:lpwstr>
  </property>
  <property fmtid="{D5CDD505-2E9C-101B-9397-08002B2CF9AE}" pid="3" name="ContentTypeId">
    <vt:lpwstr>0x010100B1ABD95194D4BA4AAD18846E3C48F26D</vt:lpwstr>
  </property>
  <property fmtid="{D5CDD505-2E9C-101B-9397-08002B2CF9AE}" pid="4" name="Order">
    <vt:r8>973200</vt:r8>
  </property>
  <property fmtid="{D5CDD505-2E9C-101B-9397-08002B2CF9AE}" pid="5" name="MediaServiceImageTags">
    <vt:lpwstr/>
  </property>
</Properties>
</file>